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F1" w:rsidRPr="009B2604" w:rsidRDefault="005C38F1" w:rsidP="005C38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604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чл. </w:t>
      </w:r>
      <w:r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Pr="007477D9">
        <w:rPr>
          <w:rFonts w:ascii="Times New Roman" w:hAnsi="Times New Roman" w:cs="Times New Roman"/>
          <w:sz w:val="24"/>
          <w:szCs w:val="24"/>
          <w:lang w:val="sr-Cyrl-CS"/>
        </w:rPr>
        <w:t xml:space="preserve">. а у вези чл. 12.-13.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r w:rsidRPr="009B2604">
        <w:rPr>
          <w:rFonts w:ascii="Times New Roman" w:hAnsi="Times New Roman" w:cs="Times New Roman"/>
          <w:sz w:val="24"/>
          <w:szCs w:val="24"/>
          <w:lang w:val="sr-Cyrl-RS"/>
        </w:rPr>
        <w:t xml:space="preserve">исхрану биља и оплемењивачима земљишта </w:t>
      </w:r>
      <w:r w:rsidRPr="009B2604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41/09 </w:t>
      </w:r>
      <w:r w:rsidRPr="009B2604">
        <w:rPr>
          <w:rFonts w:ascii="Times New Roman" w:hAnsi="Times New Roman" w:cs="Times New Roman"/>
          <w:sz w:val="24"/>
          <w:szCs w:val="24"/>
          <w:lang w:val="sr-Cyrl-RS"/>
        </w:rPr>
        <w:t>и 17/19</w:t>
      </w:r>
      <w:r w:rsidRPr="009B2604">
        <w:rPr>
          <w:rFonts w:ascii="Times New Roman" w:hAnsi="Times New Roman" w:cs="Times New Roman"/>
          <w:sz w:val="24"/>
          <w:szCs w:val="24"/>
        </w:rPr>
        <w:t>)</w:t>
      </w:r>
    </w:p>
    <w:p w:rsidR="005C38F1" w:rsidRPr="00A17DE1" w:rsidRDefault="005C38F1" w:rsidP="005C38F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7DE1">
        <w:rPr>
          <w:rFonts w:ascii="Times New Roman" w:hAnsi="Times New Roman" w:cs="Times New Roman"/>
          <w:iCs/>
          <w:sz w:val="24"/>
          <w:szCs w:val="24"/>
          <w:lang w:val="sr-Cyrl-CS"/>
        </w:rPr>
        <w:t>Министарство пољопривреде, шумарства и водопривреде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A17DE1">
        <w:rPr>
          <w:rFonts w:ascii="Times New Roman" w:hAnsi="Times New Roman" w:cs="Times New Roman"/>
          <w:sz w:val="24"/>
          <w:szCs w:val="24"/>
          <w:lang w:val="sr-Cyrl-CS"/>
        </w:rPr>
        <w:t>расписује</w:t>
      </w:r>
    </w:p>
    <w:p w:rsidR="005C38F1" w:rsidRDefault="005C38F1" w:rsidP="005C3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836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КОНКУРС </w:t>
      </w:r>
    </w:p>
    <w:p w:rsidR="005C38F1" w:rsidRPr="003836F3" w:rsidRDefault="005C38F1" w:rsidP="005C3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836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обављање лабораторијских и са њима повезаних стручних послова</w:t>
      </w:r>
      <w:r w:rsidRPr="00B400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 области средстава за исхрану биља</w:t>
      </w:r>
    </w:p>
    <w:p w:rsidR="005C38F1" w:rsidRPr="009B2604" w:rsidRDefault="005C38F1" w:rsidP="005C3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8F1" w:rsidRDefault="005C38F1" w:rsidP="005C38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E07B0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FE07B0">
        <w:rPr>
          <w:rFonts w:ascii="Times New Roman" w:hAnsi="Times New Roman" w:cs="Times New Roman"/>
          <w:sz w:val="24"/>
          <w:szCs w:val="24"/>
        </w:rPr>
        <w:t>инистарство</w:t>
      </w:r>
      <w:proofErr w:type="spellEnd"/>
      <w:r w:rsidRPr="00FE0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7B0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E0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7B0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E07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07B0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12.-</w:t>
      </w:r>
      <w:r w:rsidRPr="009B2604">
        <w:rPr>
          <w:rFonts w:ascii="Times New Roman" w:hAnsi="Times New Roman" w:cs="Times New Roman"/>
          <w:sz w:val="24"/>
          <w:szCs w:val="24"/>
        </w:rPr>
        <w:t>14.</w:t>
      </w:r>
      <w:r w:rsidRPr="009B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r w:rsidRPr="009B2604">
        <w:rPr>
          <w:rFonts w:ascii="Times New Roman" w:hAnsi="Times New Roman" w:cs="Times New Roman"/>
          <w:sz w:val="24"/>
          <w:szCs w:val="24"/>
          <w:lang w:val="sr-Cyrl-RS"/>
        </w:rPr>
        <w:t>исхрану биља и оплемењивачима земљишта</w:t>
      </w:r>
      <w:r w:rsidRPr="000340C7">
        <w:rPr>
          <w:rFonts w:ascii="Times New Roman" w:hAnsi="Times New Roman" w:cs="Times New Roman"/>
          <w:sz w:val="24"/>
          <w:szCs w:val="24"/>
          <w:lang w:val="sr-Cyrl-RS"/>
        </w:rPr>
        <w:t xml:space="preserve">, у даљем тексту: Закон </w:t>
      </w:r>
      <w:r w:rsidRPr="009B2604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B2604">
        <w:rPr>
          <w:rFonts w:ascii="Times New Roman" w:hAnsi="Times New Roman" w:cs="Times New Roman"/>
          <w:sz w:val="24"/>
          <w:szCs w:val="24"/>
        </w:rPr>
        <w:t xml:space="preserve"> 41/09 </w:t>
      </w:r>
      <w:r w:rsidRPr="009B2604">
        <w:rPr>
          <w:rFonts w:ascii="Times New Roman" w:hAnsi="Times New Roman" w:cs="Times New Roman"/>
          <w:sz w:val="24"/>
          <w:szCs w:val="24"/>
          <w:lang w:val="sr-Cyrl-RS"/>
        </w:rPr>
        <w:t>и 17/19</w:t>
      </w:r>
      <w:r w:rsidRPr="009B260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онкурс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r w:rsidRPr="005452EA">
        <w:rPr>
          <w:rFonts w:ascii="Times New Roman" w:hAnsi="Times New Roman" w:cs="Times New Roman"/>
          <w:sz w:val="24"/>
          <w:szCs w:val="24"/>
          <w:lang w:val="sr-Cyrl-CS"/>
        </w:rPr>
        <w:t>лабораторијских и са њима повезаних стручних послова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 послова од јавног интереса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то</w:t>
      </w:r>
      <w:proofErr w:type="spellEnd"/>
      <w:r w:rsidRPr="005452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за:</w:t>
      </w:r>
    </w:p>
    <w:p w:rsidR="005C38F1" w:rsidRPr="000340C7" w:rsidRDefault="005C38F1" w:rsidP="005C38F1">
      <w:pPr>
        <w:pStyle w:val="Pasussalisto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5245">
        <w:rPr>
          <w:rFonts w:ascii="Times New Roman" w:hAnsi="Times New Roman" w:cs="Times New Roman"/>
          <w:sz w:val="24"/>
          <w:szCs w:val="24"/>
          <w:lang w:val="sr-Cyrl-CS"/>
        </w:rPr>
        <w:t xml:space="preserve"> испитивање </w:t>
      </w:r>
      <w:r w:rsidRPr="00605245">
        <w:rPr>
          <w:rFonts w:ascii="Times New Roman" w:hAnsi="Times New Roman" w:cs="Times New Roman"/>
          <w:sz w:val="24"/>
          <w:szCs w:val="24"/>
          <w:lang w:val="sr-Cyrl-RS"/>
        </w:rPr>
        <w:t xml:space="preserve">узорака узетих у поступку контроле </w:t>
      </w:r>
      <w:proofErr w:type="spellStart"/>
      <w:r w:rsidRPr="0060524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605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4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5245">
        <w:rPr>
          <w:rFonts w:ascii="Times New Roman" w:hAnsi="Times New Roman" w:cs="Times New Roman"/>
          <w:sz w:val="24"/>
          <w:szCs w:val="24"/>
        </w:rPr>
        <w:t xml:space="preserve"> </w:t>
      </w:r>
      <w:r w:rsidRPr="00605245">
        <w:rPr>
          <w:rFonts w:ascii="Times New Roman" w:hAnsi="Times New Roman" w:cs="Times New Roman"/>
          <w:sz w:val="24"/>
          <w:szCs w:val="24"/>
          <w:lang w:val="sr-Cyrl-RS"/>
        </w:rPr>
        <w:t xml:space="preserve">исхрану биља и оплемењивача земљишта у производњи, промету, увозу и примени </w:t>
      </w:r>
      <w:r w:rsidRPr="000340C7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12. став 1. тачка 13. Закона </w:t>
      </w:r>
      <w:r w:rsidRPr="000340C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340C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0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0C7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0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0C7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0340C7">
        <w:rPr>
          <w:rFonts w:ascii="Times New Roman" w:hAnsi="Times New Roman" w:cs="Times New Roman"/>
          <w:sz w:val="24"/>
          <w:szCs w:val="24"/>
          <w:lang w:val="sr-Cyrl-RS"/>
        </w:rPr>
        <w:t>е послова:</w:t>
      </w:r>
    </w:p>
    <w:p w:rsidR="005C38F1" w:rsidRPr="00AE6167" w:rsidRDefault="005C38F1" w:rsidP="005C38F1">
      <w:pPr>
        <w:pStyle w:val="Pasussalisto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испитивање</w:t>
      </w:r>
      <w:proofErr w:type="spellEnd"/>
      <w:r w:rsidRPr="009B2604">
        <w:rPr>
          <w:rFonts w:ascii="Times New Roman" w:hAnsi="Times New Roman" w:cs="Times New Roman"/>
          <w:sz w:val="24"/>
          <w:szCs w:val="24"/>
          <w:lang w:val="sr-Cyrl-RS"/>
        </w:rPr>
        <w:t xml:space="preserve"> узорака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неорганских</w:t>
      </w:r>
      <w:proofErr w:type="spellEnd"/>
      <w:r w:rsidRPr="004F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ђубрива</w:t>
      </w:r>
      <w:proofErr w:type="spellEnd"/>
      <w:r w:rsidRPr="004F2147">
        <w:rPr>
          <w:rFonts w:ascii="Times New Roman" w:hAnsi="Times New Roman" w:cs="Times New Roman"/>
          <w:sz w:val="24"/>
          <w:szCs w:val="24"/>
          <w:lang w:val="sr-Cyrl-RS"/>
        </w:rPr>
        <w:t xml:space="preserve"> и неорганских оплемењивача земљишта ради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4F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хемијских</w:t>
      </w:r>
      <w:proofErr w:type="spellEnd"/>
      <w:r w:rsidRPr="004F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физичких</w:t>
      </w:r>
      <w:proofErr w:type="spellEnd"/>
      <w:r w:rsidRPr="004F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особина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B2604">
        <w:rPr>
          <w:rFonts w:ascii="Times New Roman" w:hAnsi="Times New Roman" w:cs="Times New Roman"/>
          <w:sz w:val="24"/>
          <w:szCs w:val="24"/>
          <w:lang w:val="sr-Cyrl-RS"/>
        </w:rPr>
        <w:t xml:space="preserve"> узетих у поступку контроле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r w:rsidRPr="009B2604">
        <w:rPr>
          <w:rFonts w:ascii="Times New Roman" w:hAnsi="Times New Roman" w:cs="Times New Roman"/>
          <w:sz w:val="24"/>
          <w:szCs w:val="24"/>
          <w:lang w:val="sr-Cyrl-RS"/>
        </w:rPr>
        <w:t xml:space="preserve"> исхрану биља и оплемењивача земљишта у производњи, промету, увозу и примени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B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C38F1" w:rsidRPr="00934DB3" w:rsidRDefault="005C38F1" w:rsidP="005C38F1">
      <w:pPr>
        <w:pStyle w:val="Pasussalisto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испитивање</w:t>
      </w:r>
      <w:proofErr w:type="spellEnd"/>
      <w:r w:rsidRPr="009B2604">
        <w:rPr>
          <w:rFonts w:ascii="Times New Roman" w:hAnsi="Times New Roman" w:cs="Times New Roman"/>
          <w:sz w:val="24"/>
          <w:szCs w:val="24"/>
          <w:lang w:val="sr-Cyrl-RS"/>
        </w:rPr>
        <w:t xml:space="preserve"> узорака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органских</w:t>
      </w:r>
      <w:proofErr w:type="spellEnd"/>
      <w:r w:rsidRPr="004F21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органско-неорганских</w:t>
      </w:r>
      <w:proofErr w:type="spellEnd"/>
      <w:r w:rsidRPr="004F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ђубрива</w:t>
      </w:r>
      <w:proofErr w:type="spellEnd"/>
      <w:r w:rsidRPr="004F2147">
        <w:rPr>
          <w:rFonts w:ascii="Times New Roman" w:hAnsi="Times New Roman" w:cs="Times New Roman"/>
          <w:sz w:val="24"/>
          <w:szCs w:val="24"/>
          <w:lang w:val="sr-Cyrl-RS"/>
        </w:rPr>
        <w:t xml:space="preserve">, других ђубрива и специјалних производа, органских и осталих оплемењивача земљишта 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4F21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4F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хемијских</w:t>
      </w:r>
      <w:proofErr w:type="spellEnd"/>
      <w:r w:rsidRPr="004F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физичких</w:t>
      </w:r>
      <w:proofErr w:type="spellEnd"/>
      <w:r w:rsidRPr="004F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особина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B2604">
        <w:rPr>
          <w:rFonts w:ascii="Times New Roman" w:hAnsi="Times New Roman" w:cs="Times New Roman"/>
          <w:sz w:val="24"/>
          <w:szCs w:val="24"/>
          <w:lang w:val="sr-Cyrl-RS"/>
        </w:rPr>
        <w:t xml:space="preserve"> узетих у поступку контроле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r w:rsidRPr="009B2604">
        <w:rPr>
          <w:rFonts w:ascii="Times New Roman" w:hAnsi="Times New Roman" w:cs="Times New Roman"/>
          <w:sz w:val="24"/>
          <w:szCs w:val="24"/>
          <w:lang w:val="sr-Cyrl-RS"/>
        </w:rPr>
        <w:t xml:space="preserve"> исхрану биља и оплемењивача земљишта у произв</w:t>
      </w:r>
      <w:r>
        <w:rPr>
          <w:rFonts w:ascii="Times New Roman" w:hAnsi="Times New Roman" w:cs="Times New Roman"/>
          <w:sz w:val="24"/>
          <w:szCs w:val="24"/>
          <w:lang w:val="sr-Cyrl-RS"/>
        </w:rPr>
        <w:t>одњи, промету, увозу и примени;</w:t>
      </w:r>
    </w:p>
    <w:p w:rsidR="005C38F1" w:rsidRPr="00934DB3" w:rsidRDefault="005C38F1" w:rsidP="005C38F1">
      <w:pPr>
        <w:pStyle w:val="Pasussalisto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испитивање</w:t>
      </w:r>
      <w:proofErr w:type="spellEnd"/>
      <w:r w:rsidRPr="009B2604">
        <w:rPr>
          <w:rFonts w:ascii="Times New Roman" w:hAnsi="Times New Roman" w:cs="Times New Roman"/>
          <w:sz w:val="24"/>
          <w:szCs w:val="24"/>
          <w:lang w:val="sr-Cyrl-RS"/>
        </w:rPr>
        <w:t xml:space="preserve"> узорака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микробиолошких</w:t>
      </w:r>
      <w:proofErr w:type="spellEnd"/>
      <w:r w:rsidRPr="004F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ђубрива</w:t>
      </w:r>
      <w:proofErr w:type="spellEnd"/>
      <w:r w:rsidRPr="004F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4F21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4F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хемијских</w:t>
      </w:r>
      <w:proofErr w:type="spellEnd"/>
      <w:r w:rsidRPr="004F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физичких</w:t>
      </w:r>
      <w:proofErr w:type="spellEnd"/>
      <w:r w:rsidRPr="004F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особина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B2604">
        <w:rPr>
          <w:rFonts w:ascii="Times New Roman" w:hAnsi="Times New Roman" w:cs="Times New Roman"/>
          <w:sz w:val="24"/>
          <w:szCs w:val="24"/>
          <w:lang w:val="sr-Cyrl-RS"/>
        </w:rPr>
        <w:t xml:space="preserve"> узетих у поступку контроле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r w:rsidRPr="009B2604">
        <w:rPr>
          <w:rFonts w:ascii="Times New Roman" w:hAnsi="Times New Roman" w:cs="Times New Roman"/>
          <w:sz w:val="24"/>
          <w:szCs w:val="24"/>
          <w:lang w:val="sr-Cyrl-RS"/>
        </w:rPr>
        <w:t>исхрану биља и оплемењивача земљишта у произв</w:t>
      </w:r>
      <w:r>
        <w:rPr>
          <w:rFonts w:ascii="Times New Roman" w:hAnsi="Times New Roman" w:cs="Times New Roman"/>
          <w:sz w:val="24"/>
          <w:szCs w:val="24"/>
          <w:lang w:val="sr-Cyrl-RS"/>
        </w:rPr>
        <w:t>одњи, промету, увозу и примени;</w:t>
      </w:r>
    </w:p>
    <w:p w:rsidR="005C38F1" w:rsidRDefault="005C38F1" w:rsidP="005C38F1">
      <w:pPr>
        <w:pStyle w:val="Pasussalistom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38F1" w:rsidRDefault="005C38F1" w:rsidP="005C38F1">
      <w:pPr>
        <w:pStyle w:val="Pasussalisto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5245">
        <w:rPr>
          <w:rFonts w:ascii="Times New Roman" w:hAnsi="Times New Roman" w:cs="Times New Roman"/>
          <w:sz w:val="24"/>
          <w:szCs w:val="24"/>
          <w:lang w:val="sr-Cyrl-RS"/>
        </w:rPr>
        <w:t xml:space="preserve">испитивање </w:t>
      </w:r>
      <w:r w:rsidRPr="00605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средстава за исхрану биља у складу са Годишњим планом </w:t>
      </w:r>
      <w:r w:rsidRPr="000340C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испитивања </w:t>
      </w:r>
      <w:r w:rsidRPr="000340C7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12. став 1. тачка 1. Закона </w:t>
      </w:r>
      <w:r w:rsidRPr="0060524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05245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605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4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5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45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605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45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605245">
        <w:rPr>
          <w:rFonts w:ascii="Times New Roman" w:hAnsi="Times New Roman" w:cs="Times New Roman"/>
          <w:sz w:val="24"/>
          <w:szCs w:val="24"/>
          <w:lang w:val="sr-Cyrl-RS"/>
        </w:rPr>
        <w:t>е послова:</w:t>
      </w:r>
    </w:p>
    <w:p w:rsidR="005C38F1" w:rsidRPr="009B2604" w:rsidRDefault="005C38F1" w:rsidP="005C38F1">
      <w:pPr>
        <w:pStyle w:val="Pasussalisto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6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испитивање</w:t>
      </w:r>
      <w:r w:rsidRPr="004F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неорганских</w:t>
      </w:r>
      <w:proofErr w:type="spellEnd"/>
      <w:r w:rsidRPr="004F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ђубрива</w:t>
      </w:r>
      <w:proofErr w:type="spellEnd"/>
      <w:r w:rsidRPr="004F2147">
        <w:rPr>
          <w:rFonts w:ascii="Times New Roman" w:hAnsi="Times New Roman" w:cs="Times New Roman"/>
          <w:sz w:val="24"/>
          <w:szCs w:val="24"/>
          <w:lang w:val="sr-Cyrl-RS"/>
        </w:rPr>
        <w:t xml:space="preserve"> и неорганских оплемењивача земљишта ради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4F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хемијских</w:t>
      </w:r>
      <w:proofErr w:type="spellEnd"/>
      <w:r w:rsidRPr="004F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физичких</w:t>
      </w:r>
      <w:proofErr w:type="spellEnd"/>
      <w:r w:rsidRPr="004F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особина</w:t>
      </w:r>
      <w:proofErr w:type="spellEnd"/>
      <w:r w:rsidRPr="009B26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у складу са Годишњим планом испитивања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;</w:t>
      </w:r>
    </w:p>
    <w:p w:rsidR="005C38F1" w:rsidRPr="000340C7" w:rsidRDefault="005C38F1" w:rsidP="005C38F1">
      <w:pPr>
        <w:pStyle w:val="Pasussalisto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6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испитивање</w:t>
      </w:r>
      <w:r w:rsidRPr="004F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органских</w:t>
      </w:r>
      <w:proofErr w:type="spellEnd"/>
      <w:r w:rsidRPr="004F21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органско-неорганских</w:t>
      </w:r>
      <w:proofErr w:type="spellEnd"/>
      <w:r w:rsidRPr="004F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ђубрива</w:t>
      </w:r>
      <w:proofErr w:type="spellEnd"/>
      <w:r w:rsidRPr="004F2147">
        <w:rPr>
          <w:rFonts w:ascii="Times New Roman" w:hAnsi="Times New Roman" w:cs="Times New Roman"/>
          <w:sz w:val="24"/>
          <w:szCs w:val="24"/>
          <w:lang w:val="sr-Cyrl-RS"/>
        </w:rPr>
        <w:t xml:space="preserve">, других ђубрива и специјалних </w:t>
      </w:r>
      <w:r w:rsidRPr="000340C7">
        <w:rPr>
          <w:rFonts w:ascii="Times New Roman" w:hAnsi="Times New Roman" w:cs="Times New Roman"/>
          <w:sz w:val="24"/>
          <w:szCs w:val="24"/>
          <w:lang w:val="sr-Cyrl-RS"/>
        </w:rPr>
        <w:t xml:space="preserve">производа, органских и осталих оплемењивача земљишта  </w:t>
      </w:r>
      <w:proofErr w:type="spellStart"/>
      <w:r w:rsidRPr="000340C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03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340C7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0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0C7">
        <w:rPr>
          <w:rFonts w:ascii="Times New Roman" w:hAnsi="Times New Roman" w:cs="Times New Roman"/>
          <w:sz w:val="24"/>
          <w:szCs w:val="24"/>
        </w:rPr>
        <w:t>хемијских</w:t>
      </w:r>
      <w:proofErr w:type="spellEnd"/>
      <w:r w:rsidRPr="000340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0C7">
        <w:rPr>
          <w:rFonts w:ascii="Times New Roman" w:hAnsi="Times New Roman" w:cs="Times New Roman"/>
          <w:sz w:val="24"/>
          <w:szCs w:val="24"/>
        </w:rPr>
        <w:t>физичких</w:t>
      </w:r>
      <w:proofErr w:type="spellEnd"/>
      <w:r w:rsidRPr="000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0C7">
        <w:rPr>
          <w:rFonts w:ascii="Times New Roman" w:hAnsi="Times New Roman" w:cs="Times New Roman"/>
          <w:sz w:val="24"/>
          <w:szCs w:val="24"/>
        </w:rPr>
        <w:t>особина</w:t>
      </w:r>
      <w:proofErr w:type="spellEnd"/>
      <w:r w:rsidRPr="000340C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у складу са Годишњим планом испитивања;</w:t>
      </w:r>
    </w:p>
    <w:p w:rsidR="005C38F1" w:rsidRPr="003052DB" w:rsidRDefault="005C38F1" w:rsidP="005C38F1">
      <w:pPr>
        <w:pStyle w:val="Pasussalisto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40C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испитивање</w:t>
      </w:r>
      <w:r w:rsidRPr="000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микробиолошких</w:t>
      </w:r>
      <w:proofErr w:type="spellEnd"/>
      <w:r w:rsidRPr="004F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ђубрива</w:t>
      </w:r>
      <w:proofErr w:type="spellEnd"/>
      <w:r w:rsidRPr="004F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4F21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4F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хемијских</w:t>
      </w:r>
      <w:proofErr w:type="spellEnd"/>
      <w:r w:rsidRPr="004F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физичких</w:t>
      </w:r>
      <w:proofErr w:type="spellEnd"/>
      <w:r w:rsidRPr="004F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</w:rPr>
        <w:t>особина</w:t>
      </w:r>
      <w:proofErr w:type="spellEnd"/>
      <w:r w:rsidRPr="00AE61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Pr="009B26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складу са Годишњим планом испитивања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.</w:t>
      </w:r>
    </w:p>
    <w:p w:rsidR="005C38F1" w:rsidRDefault="005C38F1" w:rsidP="005C38F1">
      <w:pPr>
        <w:pStyle w:val="Pasussalistom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38F1" w:rsidRDefault="005C38F1" w:rsidP="005C38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Конкурс се </w:t>
      </w:r>
      <w:r w:rsidRPr="000340C7">
        <w:rPr>
          <w:rFonts w:ascii="Times New Roman" w:hAnsi="Times New Roman" w:cs="Times New Roman"/>
          <w:sz w:val="24"/>
          <w:szCs w:val="24"/>
          <w:lang w:val="sr-Cyrl-RS"/>
        </w:rPr>
        <w:t xml:space="preserve">расписује и уговори закључују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период од пет година.</w:t>
      </w:r>
    </w:p>
    <w:p w:rsidR="005C38F1" w:rsidRDefault="005C38F1" w:rsidP="005C38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38F1" w:rsidRPr="009B2604" w:rsidRDefault="005C38F1" w:rsidP="005C3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260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77D9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proofErr w:type="gramEnd"/>
      <w:r w:rsidRPr="007477D9">
        <w:rPr>
          <w:rFonts w:ascii="Times New Roman" w:hAnsi="Times New Roman" w:cs="Times New Roman"/>
          <w:sz w:val="24"/>
          <w:szCs w:val="24"/>
          <w:lang w:val="sr-Cyrl-RS"/>
        </w:rPr>
        <w:t xml:space="preserve"> 13. Закона односно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>.</w:t>
      </w:r>
    </w:p>
    <w:p w:rsidR="005C38F1" w:rsidRDefault="005C38F1" w:rsidP="005C38F1">
      <w:pPr>
        <w:spacing w:after="0"/>
        <w:ind w:right="-76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B2604">
        <w:rPr>
          <w:rFonts w:ascii="Times New Roman" w:hAnsi="Times New Roman" w:cs="Times New Roman"/>
          <w:sz w:val="24"/>
          <w:szCs w:val="24"/>
          <w:lang w:val="sr-Cyrl-RS"/>
        </w:rPr>
        <w:t xml:space="preserve">Послове од јавног интереса за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испитивање</w:t>
      </w:r>
      <w:proofErr w:type="spellEnd"/>
      <w:r w:rsidRPr="009B2604">
        <w:rPr>
          <w:rFonts w:ascii="Times New Roman" w:hAnsi="Times New Roman" w:cs="Times New Roman"/>
          <w:sz w:val="24"/>
          <w:szCs w:val="24"/>
          <w:lang w:val="sr-Cyrl-RS"/>
        </w:rPr>
        <w:t xml:space="preserve"> узорака узетих у поступку контроле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r w:rsidRPr="009B2604">
        <w:rPr>
          <w:rFonts w:ascii="Times New Roman" w:hAnsi="Times New Roman" w:cs="Times New Roman"/>
          <w:sz w:val="24"/>
          <w:szCs w:val="24"/>
          <w:lang w:val="sr-Cyrl-RS"/>
        </w:rPr>
        <w:t xml:space="preserve"> исхрану биља у производњи, промету, увозу и примени и </w:t>
      </w:r>
      <w:r w:rsidRPr="009B26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испитивање средстава за исхрану биља  у складу са Годишњим планом испитивања</w:t>
      </w:r>
      <w:r w:rsidRPr="009B2604">
        <w:rPr>
          <w:rFonts w:ascii="Times New Roman" w:hAnsi="Times New Roman" w:cs="Times New Roman"/>
          <w:sz w:val="24"/>
          <w:szCs w:val="24"/>
          <w:lang w:val="sr-Cyrl-RS"/>
        </w:rPr>
        <w:t xml:space="preserve">, може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врши правно лице које</w:t>
      </w:r>
      <w:r w:rsidRPr="009B2604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акредитовано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стандардом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SRPS EN ISO/IEC 17025 – „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Општи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захтеви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компетентност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лабораторија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испитивање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лабораторије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еталонирање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”, у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неорганских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ђубрива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неорганских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оплемењивача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осталих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исхрану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биља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оплемењивача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испитивања</w:t>
      </w:r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обављати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0C7">
        <w:rPr>
          <w:rFonts w:ascii="Times New Roman" w:hAnsi="Times New Roman" w:cs="Times New Roman"/>
          <w:sz w:val="24"/>
          <w:szCs w:val="24"/>
          <w:lang w:val="sr-Cyrl-RS"/>
        </w:rPr>
        <w:t xml:space="preserve">која није акредитована у складу са стандардом  </w:t>
      </w:r>
      <w:r w:rsidRPr="000340C7">
        <w:rPr>
          <w:rFonts w:ascii="Times New Roman" w:hAnsi="Times New Roman" w:cs="Times New Roman"/>
          <w:sz w:val="24"/>
          <w:szCs w:val="24"/>
        </w:rPr>
        <w:t>SRPS EN ISO/IEC 17025</w:t>
      </w:r>
      <w:r w:rsidRPr="000340C7">
        <w:rPr>
          <w:rFonts w:ascii="Times New Roman" w:hAnsi="Times New Roman" w:cs="Times New Roman"/>
          <w:sz w:val="24"/>
          <w:szCs w:val="24"/>
          <w:lang w:val="sr-Cyrl-RS"/>
        </w:rPr>
        <w:t xml:space="preserve">, већ је акредитована за вршење научноистраживачке делатности и као таква </w:t>
      </w:r>
      <w:proofErr w:type="spellStart"/>
      <w:r w:rsidRPr="000340C7">
        <w:rPr>
          <w:rFonts w:ascii="Times New Roman" w:hAnsi="Times New Roman" w:cs="Times New Roman"/>
          <w:sz w:val="24"/>
          <w:szCs w:val="24"/>
        </w:rPr>
        <w:t>уписана</w:t>
      </w:r>
      <w:proofErr w:type="spellEnd"/>
      <w:r w:rsidRPr="000340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40C7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034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научноистраживачких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научноистраживачку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5C38F1" w:rsidRPr="009B2604" w:rsidRDefault="005C38F1" w:rsidP="005C38F1">
      <w:pPr>
        <w:spacing w:after="0"/>
        <w:ind w:right="-7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Акредитација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једну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метода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испитивања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исхрану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биља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оплемењивача земљишта.</w:t>
      </w:r>
    </w:p>
    <w:p w:rsidR="005C38F1" w:rsidRDefault="005C38F1" w:rsidP="005C38F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60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 испитивање узорака средстава за исхрану биља ради провере хемијских и физичких особина средстава за исхрану биља користе се методе прописане Правилником о методама испитивања средстава за исхрану биља и оплемењивача земљишта („Сл. гласник РС</w:t>
      </w:r>
      <w:r w:rsidRPr="007477D9">
        <w:rPr>
          <w:rFonts w:ascii="Times New Roman" w:hAnsi="Times New Roman" w:cs="Times New Roman"/>
          <w:sz w:val="24"/>
          <w:szCs w:val="24"/>
          <w:lang w:val="sr-Cyrl-RS"/>
        </w:rPr>
        <w:t xml:space="preserve">”, број 84/17), </w:t>
      </w:r>
      <w:r w:rsidRPr="009B2604">
        <w:rPr>
          <w:rFonts w:ascii="Times New Roman" w:hAnsi="Times New Roman" w:cs="Times New Roman"/>
          <w:sz w:val="24"/>
          <w:szCs w:val="24"/>
          <w:lang w:val="sr-Cyrl-RS"/>
        </w:rPr>
        <w:t xml:space="preserve">и то: </w:t>
      </w:r>
    </w:p>
    <w:p w:rsidR="005C38F1" w:rsidRDefault="005C38F1" w:rsidP="005C38F1">
      <w:pPr>
        <w:pStyle w:val="Pasussalisto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464C">
        <w:rPr>
          <w:rFonts w:ascii="Times New Roman" w:hAnsi="Times New Roman" w:cs="Times New Roman"/>
          <w:sz w:val="24"/>
          <w:szCs w:val="24"/>
          <w:lang w:val="sr-Cyrl-RS"/>
        </w:rPr>
        <w:t xml:space="preserve">Методе испитивања неорганских ђубрива и неорганских оплемењивача земљишта,  дате у Прилогу 1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Правилникa</w:t>
      </w:r>
      <w:proofErr w:type="spellEnd"/>
      <w:r w:rsidRPr="009B2604">
        <w:rPr>
          <w:rFonts w:ascii="Times New Roman" w:hAnsi="Times New Roman" w:cs="Times New Roman"/>
          <w:sz w:val="24"/>
          <w:szCs w:val="24"/>
          <w:lang w:val="sr-Cyrl-RS"/>
        </w:rPr>
        <w:t xml:space="preserve"> о методама испитивања средстава за исхрану биља и оплемењивача земљишта</w:t>
      </w:r>
      <w:r w:rsidRPr="00A6464C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:rsidR="005C38F1" w:rsidRDefault="005C38F1" w:rsidP="005C38F1">
      <w:pPr>
        <w:pStyle w:val="Pasussalisto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4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464C">
        <w:rPr>
          <w:rFonts w:ascii="Times New Roman" w:hAnsi="Times New Roman" w:cs="Times New Roman"/>
          <w:sz w:val="24"/>
          <w:szCs w:val="24"/>
          <w:lang w:val="sr-Cyrl-RS"/>
        </w:rPr>
        <w:t>Mетоде</w:t>
      </w:r>
      <w:proofErr w:type="spellEnd"/>
      <w:r w:rsidRPr="00A6464C">
        <w:rPr>
          <w:rFonts w:ascii="Times New Roman" w:hAnsi="Times New Roman" w:cs="Times New Roman"/>
          <w:sz w:val="24"/>
          <w:szCs w:val="24"/>
          <w:lang w:val="sr-Cyrl-RS"/>
        </w:rPr>
        <w:t xml:space="preserve"> испитивања микробиолошких ђубрива, дате у Прилогу 2 Правилника</w:t>
      </w:r>
      <w:r w:rsidRPr="00320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2604">
        <w:rPr>
          <w:rFonts w:ascii="Times New Roman" w:hAnsi="Times New Roman" w:cs="Times New Roman"/>
          <w:sz w:val="24"/>
          <w:szCs w:val="24"/>
          <w:lang w:val="sr-Cyrl-RS"/>
        </w:rPr>
        <w:t>о методама испитивања средстава за исхрану биља и оплемењивача земљишта</w:t>
      </w:r>
      <w:r w:rsidRPr="00A646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5C38F1" w:rsidRPr="000340C7" w:rsidRDefault="005C38F1" w:rsidP="005C38F1">
      <w:pPr>
        <w:pStyle w:val="Pasussalisto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464C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осталих средстава за исхрану биља за које нису утврђене методе испитивања, за испитивање хемијских и физичких особина средстава за исхрану биља и оплемењивача земљишта примењују се друге </w:t>
      </w:r>
      <w:proofErr w:type="spellStart"/>
      <w:r w:rsidRPr="00A6464C">
        <w:rPr>
          <w:rFonts w:ascii="Times New Roman" w:hAnsi="Times New Roman" w:cs="Times New Roman"/>
          <w:sz w:val="24"/>
          <w:szCs w:val="24"/>
          <w:lang w:val="sr-Cyrl-RS"/>
        </w:rPr>
        <w:t>валидиране</w:t>
      </w:r>
      <w:proofErr w:type="spellEnd"/>
      <w:r w:rsidRPr="00A6464C">
        <w:rPr>
          <w:rFonts w:ascii="Times New Roman" w:hAnsi="Times New Roman" w:cs="Times New Roman"/>
          <w:sz w:val="24"/>
          <w:szCs w:val="24"/>
          <w:lang w:val="sr-Cyrl-RS"/>
        </w:rPr>
        <w:t xml:space="preserve"> и међународно </w:t>
      </w:r>
      <w:r w:rsidRPr="000340C7">
        <w:rPr>
          <w:rFonts w:ascii="Times New Roman" w:hAnsi="Times New Roman" w:cs="Times New Roman"/>
          <w:sz w:val="24"/>
          <w:szCs w:val="24"/>
          <w:lang w:val="sr-Cyrl-RS"/>
        </w:rPr>
        <w:t xml:space="preserve">признате методе, као и методе предложене од стране произвођача. </w:t>
      </w:r>
    </w:p>
    <w:p w:rsidR="005C38F1" w:rsidRPr="009B2604" w:rsidRDefault="005C38F1" w:rsidP="005C3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sr-Cyrl-RS"/>
        </w:rPr>
      </w:pPr>
    </w:p>
    <w:p w:rsidR="005C38F1" w:rsidRPr="000340C7" w:rsidRDefault="005C38F1" w:rsidP="005C38F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0C7">
        <w:rPr>
          <w:rFonts w:ascii="Times New Roman" w:hAnsi="Times New Roman" w:cs="Times New Roman"/>
          <w:sz w:val="24"/>
          <w:szCs w:val="24"/>
          <w:lang w:val="sr-Cyrl-RS"/>
        </w:rPr>
        <w:t xml:space="preserve">Правна лица која су акредитована у складу са стандардом </w:t>
      </w:r>
      <w:r w:rsidRPr="000340C7">
        <w:rPr>
          <w:rFonts w:ascii="Times New Roman" w:hAnsi="Times New Roman" w:cs="Times New Roman"/>
          <w:sz w:val="24"/>
          <w:szCs w:val="24"/>
        </w:rPr>
        <w:t>SRPS EN ISO/IEC 17025</w:t>
      </w:r>
      <w:r w:rsidRPr="000340C7">
        <w:rPr>
          <w:rFonts w:ascii="Times New Roman" w:hAnsi="Times New Roman" w:cs="Times New Roman"/>
          <w:sz w:val="24"/>
          <w:szCs w:val="24"/>
          <w:lang w:val="sr-Cyrl-RS"/>
        </w:rPr>
        <w:t xml:space="preserve"> не попуњавају прилоге 2-4 (табеле везано за просторије, опрему и стручна лица) јер је то већ утврђено акредитацијом. Друге лабораторије које немају тражену акредитацију треба да попуне све прилоге.</w:t>
      </w:r>
    </w:p>
    <w:p w:rsidR="005C38F1" w:rsidRPr="004F2147" w:rsidRDefault="005C38F1" w:rsidP="005C38F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340C7">
        <w:rPr>
          <w:rFonts w:ascii="Times New Roman" w:hAnsi="Times New Roman" w:cs="Times New Roman"/>
          <w:sz w:val="24"/>
          <w:szCs w:val="24"/>
          <w:lang w:val="sr-Latn-RS"/>
        </w:rPr>
        <w:t>Право</w:t>
      </w:r>
      <w:proofErr w:type="spellEnd"/>
      <w:r w:rsidRPr="000340C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340C7">
        <w:rPr>
          <w:rFonts w:ascii="Times New Roman" w:hAnsi="Times New Roman" w:cs="Times New Roman"/>
          <w:sz w:val="24"/>
          <w:szCs w:val="24"/>
          <w:lang w:val="sr-Latn-RS"/>
        </w:rPr>
        <w:t>учешћа</w:t>
      </w:r>
      <w:proofErr w:type="spellEnd"/>
      <w:r w:rsidRPr="000340C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340C7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00340C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340C7">
        <w:rPr>
          <w:rFonts w:ascii="Times New Roman" w:hAnsi="Times New Roman" w:cs="Times New Roman"/>
          <w:sz w:val="24"/>
          <w:szCs w:val="24"/>
          <w:lang w:val="sr-Latn-RS"/>
        </w:rPr>
        <w:t>овом</w:t>
      </w:r>
      <w:proofErr w:type="spellEnd"/>
      <w:r w:rsidRPr="000340C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340C7">
        <w:rPr>
          <w:rFonts w:ascii="Times New Roman" w:hAnsi="Times New Roman" w:cs="Times New Roman"/>
          <w:sz w:val="24"/>
          <w:szCs w:val="24"/>
          <w:lang w:val="sr-Latn-RS"/>
        </w:rPr>
        <w:t>конкурсу</w:t>
      </w:r>
      <w:proofErr w:type="spellEnd"/>
      <w:r w:rsidRPr="000340C7">
        <w:rPr>
          <w:rFonts w:ascii="Times New Roman" w:hAnsi="Times New Roman" w:cs="Times New Roman"/>
          <w:sz w:val="24"/>
          <w:szCs w:val="24"/>
          <w:lang w:val="sr-Cyrl-RS"/>
        </w:rPr>
        <w:t xml:space="preserve"> за послове наведене под тачкама 1 и 2</w:t>
      </w:r>
      <w:r w:rsidRPr="000340C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340C7">
        <w:rPr>
          <w:rFonts w:ascii="Times New Roman" w:hAnsi="Times New Roman" w:cs="Times New Roman"/>
          <w:sz w:val="24"/>
          <w:szCs w:val="24"/>
          <w:lang w:val="sr-Latn-RS"/>
        </w:rPr>
        <w:t>имају</w:t>
      </w:r>
      <w:proofErr w:type="spellEnd"/>
      <w:r w:rsidRPr="000340C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340C7">
        <w:rPr>
          <w:rFonts w:ascii="Times New Roman" w:hAnsi="Times New Roman" w:cs="Times New Roman"/>
          <w:sz w:val="24"/>
          <w:szCs w:val="24"/>
          <w:lang w:val="sr-Latn-RS"/>
        </w:rPr>
        <w:t>све</w:t>
      </w:r>
      <w:proofErr w:type="spellEnd"/>
      <w:r w:rsidRPr="000340C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  <w:lang w:val="sr-Latn-RS"/>
        </w:rPr>
        <w:t>заинтересоване</w:t>
      </w:r>
      <w:proofErr w:type="spellEnd"/>
      <w:r w:rsidRPr="004F21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акредитоване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лабораторије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којe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  <w:lang w:val="sr-Latn-RS"/>
        </w:rPr>
        <w:t>доставе</w:t>
      </w:r>
      <w:proofErr w:type="spellEnd"/>
      <w:r w:rsidRPr="004F21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  <w:lang w:val="sr-Latn-RS"/>
        </w:rPr>
        <w:t>следећу</w:t>
      </w:r>
      <w:proofErr w:type="spellEnd"/>
      <w:r w:rsidRPr="004F21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  <w:lang w:val="sr-Latn-RS"/>
        </w:rPr>
        <w:t>документацију</w:t>
      </w:r>
      <w:proofErr w:type="spellEnd"/>
      <w:r w:rsidRPr="004F2147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C38F1" w:rsidRPr="008556F2" w:rsidRDefault="005C38F1" w:rsidP="005C38F1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2147">
        <w:rPr>
          <w:rFonts w:ascii="Times New Roman" w:hAnsi="Times New Roman" w:cs="Times New Roman"/>
          <w:sz w:val="24"/>
          <w:szCs w:val="24"/>
          <w:lang w:val="sr-Cyrl-CS"/>
        </w:rPr>
        <w:t>Пријаву на конкурс која се подноси на Обрасцу 1 који се заједно са целокупном документацијом може преузети са сајта Управе за заштиту биља (</w:t>
      </w:r>
      <w:hyperlink r:id="rId5" w:history="1">
        <w:r w:rsidRPr="004F2147">
          <w:rPr>
            <w:rStyle w:val="Hiperveza"/>
            <w:rFonts w:ascii="Times New Roman" w:hAnsi="Times New Roman" w:cs="Times New Roman"/>
            <w:sz w:val="24"/>
            <w:szCs w:val="24"/>
            <w:lang w:val="sr-Cyrl-CS"/>
          </w:rPr>
          <w:t>www.uzb.minpolj.gov.rs</w:t>
        </w:r>
      </w:hyperlink>
      <w:r w:rsidRPr="004F2147">
        <w:rPr>
          <w:rFonts w:ascii="Times New Roman" w:hAnsi="Times New Roman" w:cs="Times New Roman"/>
          <w:sz w:val="24"/>
          <w:szCs w:val="24"/>
          <w:lang w:val="sr-Cyrl-CS"/>
        </w:rPr>
        <w:t>).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556F2">
        <w:rPr>
          <w:rFonts w:ascii="Times New Roman" w:hAnsi="Times New Roman" w:cs="Times New Roman"/>
          <w:sz w:val="24"/>
          <w:szCs w:val="24"/>
          <w:lang w:val="sr-Cyrl-CS"/>
        </w:rPr>
        <w:t xml:space="preserve">Пријава садржи основне податке о правном лицу, што подразумева пун назив и потпуну адресу, матични број, порески идентификациони број, број рачуна и назив банке, име лица овлашћеног за заступање, име одговорног лица (лице које потписује извештај о испитивању, односно лице које је одговорно за издавање извештаја) које ће обављати одређене послове који су предмет уговора у складу са чланом </w:t>
      </w:r>
      <w:r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8556F2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средствима за исхрану биља</w:t>
      </w:r>
      <w:r w:rsidRPr="008556F2">
        <w:rPr>
          <w:rFonts w:ascii="Times New Roman" w:hAnsi="Times New Roman" w:cs="Times New Roman"/>
          <w:sz w:val="24"/>
          <w:szCs w:val="24"/>
          <w:lang w:val="sr-Cyrl-CS"/>
        </w:rPr>
        <w:t>, као и да јасно наведу за које групе послова достављају пријаву.</w:t>
      </w:r>
    </w:p>
    <w:p w:rsidR="005C38F1" w:rsidRDefault="005C38F1" w:rsidP="005C38F1">
      <w:pPr>
        <w:pStyle w:val="Pasussalisto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АПР-а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8F1" w:rsidRPr="004F2147" w:rsidRDefault="005C38F1" w:rsidP="005C38F1">
      <w:pPr>
        <w:pStyle w:val="Pasussalistom"/>
        <w:spacing w:after="0"/>
        <w:jc w:val="both"/>
        <w:rPr>
          <w:i/>
          <w:sz w:val="24"/>
          <w:szCs w:val="24"/>
          <w:lang w:val="sr-Cyrl-CS"/>
        </w:rPr>
      </w:pPr>
      <w:r w:rsidRPr="004F2147">
        <w:rPr>
          <w:i/>
          <w:sz w:val="24"/>
          <w:szCs w:val="24"/>
          <w:lang w:val="sr-Cyrl-CS"/>
        </w:rPr>
        <w:t xml:space="preserve">Уколико подносилац пријаве не достави овај документ, Комисија ће извршити увид у регистар привредних субјеката Агенције за привредне регистре, с обзиром да је овај документ јавно доступан на интернет страници Агенције за привредне регистре </w:t>
      </w:r>
      <w:hyperlink r:id="rId6" w:history="1">
        <w:r w:rsidRPr="004F2147">
          <w:rPr>
            <w:rStyle w:val="Hiperveza"/>
            <w:i/>
            <w:sz w:val="24"/>
            <w:szCs w:val="24"/>
            <w:lang w:val="sr-Cyrl-CS"/>
          </w:rPr>
          <w:t>https://www.apr.gov.rs/</w:t>
        </w:r>
      </w:hyperlink>
    </w:p>
    <w:p w:rsidR="005C38F1" w:rsidRPr="009B2604" w:rsidRDefault="005C38F1" w:rsidP="005C38F1">
      <w:pPr>
        <w:pStyle w:val="Pasussalisto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Start"/>
      <w:r w:rsidRPr="009B2604">
        <w:rPr>
          <w:rFonts w:ascii="Times New Roman" w:hAnsi="Times New Roman" w:cs="Times New Roman"/>
          <w:sz w:val="24"/>
          <w:szCs w:val="24"/>
          <w:lang w:val="sr-Cyrl-CS"/>
        </w:rPr>
        <w:t>оказ</w:t>
      </w:r>
      <w:proofErr w:type="spellEnd"/>
      <w:r w:rsidRPr="009B2604">
        <w:rPr>
          <w:rFonts w:ascii="Times New Roman" w:hAnsi="Times New Roman" w:cs="Times New Roman"/>
          <w:sz w:val="24"/>
          <w:szCs w:val="24"/>
          <w:lang w:val="sr-Cyrl-CS"/>
        </w:rPr>
        <w:t xml:space="preserve"> о испуњености међународних стандарда у погледу техничке и професионалне оспособљености у смислу акредитације у складу са следећим стандардима: </w:t>
      </w:r>
      <w:r w:rsidRPr="009B2604">
        <w:rPr>
          <w:rFonts w:ascii="Times New Roman" w:hAnsi="Times New Roman" w:cs="Times New Roman"/>
          <w:sz w:val="24"/>
          <w:szCs w:val="24"/>
        </w:rPr>
        <w:t xml:space="preserve">EN ISO / IEC 17025 – </w:t>
      </w:r>
      <w:r w:rsidRPr="009B2604">
        <w:rPr>
          <w:rFonts w:ascii="Times New Roman" w:hAnsi="Times New Roman" w:cs="Times New Roman"/>
          <w:sz w:val="24"/>
          <w:szCs w:val="24"/>
          <w:lang w:val="sr-Cyrl-CS"/>
        </w:rPr>
        <w:t xml:space="preserve">„Општи захтеви за компетентност лабораторија за тестирање и </w:t>
      </w:r>
      <w:proofErr w:type="spellStart"/>
      <w:r w:rsidRPr="009B2604">
        <w:rPr>
          <w:rFonts w:ascii="Times New Roman" w:hAnsi="Times New Roman" w:cs="Times New Roman"/>
          <w:sz w:val="24"/>
          <w:szCs w:val="24"/>
          <w:lang w:val="sr-Cyrl-CS"/>
        </w:rPr>
        <w:t>калибрацију</w:t>
      </w:r>
      <w:proofErr w:type="spellEnd"/>
      <w:r w:rsidRPr="009B2604">
        <w:rPr>
          <w:rFonts w:ascii="Times New Roman" w:hAnsi="Times New Roman" w:cs="Times New Roman"/>
          <w:sz w:val="24"/>
          <w:szCs w:val="24"/>
          <w:lang w:val="sr-Cyrl-CS"/>
        </w:rPr>
        <w:t>- Сертификат о акредитацији којим се потврђује усаглашеност са наведеним стандардом уз који се доставља обим акредитације, за послове за које је прописано да могу да раде само акредитоване лабораторије.</w:t>
      </w:r>
      <w:r w:rsidRPr="009B260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5C38F1" w:rsidRPr="004632E4" w:rsidRDefault="005C38F1" w:rsidP="005C38F1">
      <w:pPr>
        <w:pStyle w:val="Pasussalisto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3B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1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3B8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11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3B8">
        <w:rPr>
          <w:rFonts w:ascii="Times New Roman" w:hAnsi="Times New Roman" w:cs="Times New Roman"/>
          <w:sz w:val="24"/>
          <w:szCs w:val="24"/>
        </w:rPr>
        <w:t>лабораторијских</w:t>
      </w:r>
      <w:proofErr w:type="spellEnd"/>
      <w:r w:rsidRPr="0011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3B8">
        <w:rPr>
          <w:rFonts w:ascii="Times New Roman" w:hAnsi="Times New Roman" w:cs="Times New Roman"/>
          <w:sz w:val="24"/>
          <w:szCs w:val="24"/>
        </w:rPr>
        <w:t>испитивања</w:t>
      </w:r>
      <w:proofErr w:type="spellEnd"/>
      <w:r w:rsidRPr="001163B8">
        <w:rPr>
          <w:rFonts w:ascii="Times New Roman" w:hAnsi="Times New Roman" w:cs="Times New Roman"/>
          <w:sz w:val="24"/>
          <w:szCs w:val="24"/>
        </w:rPr>
        <w:t xml:space="preserve"> </w:t>
      </w:r>
      <w:r w:rsidRPr="001163B8">
        <w:rPr>
          <w:rFonts w:ascii="Times New Roman" w:hAnsi="Times New Roman" w:cs="Times New Roman"/>
          <w:sz w:val="24"/>
          <w:szCs w:val="24"/>
          <w:lang w:val="sr-Cyrl-RS"/>
        </w:rPr>
        <w:t xml:space="preserve">узорака узетих у поступку контроле </w:t>
      </w:r>
      <w:proofErr w:type="spellStart"/>
      <w:r w:rsidRPr="001163B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</w:p>
    <w:p w:rsidR="005C38F1" w:rsidRDefault="005C38F1" w:rsidP="005C38F1">
      <w:pPr>
        <w:pStyle w:val="Pasussalistom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1163B8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1163B8">
        <w:rPr>
          <w:rFonts w:ascii="Times New Roman" w:hAnsi="Times New Roman" w:cs="Times New Roman"/>
          <w:sz w:val="24"/>
          <w:szCs w:val="24"/>
        </w:rPr>
        <w:t xml:space="preserve"> </w:t>
      </w:r>
      <w:r w:rsidRPr="001163B8">
        <w:rPr>
          <w:rFonts w:ascii="Times New Roman" w:hAnsi="Times New Roman" w:cs="Times New Roman"/>
          <w:sz w:val="24"/>
          <w:szCs w:val="24"/>
          <w:lang w:val="sr-Cyrl-RS"/>
        </w:rPr>
        <w:t>исхрану биља и оплемењивача земљишта у производњи, промету, увозу и</w:t>
      </w:r>
    </w:p>
    <w:p w:rsidR="005C38F1" w:rsidRPr="001163B8" w:rsidRDefault="005C38F1" w:rsidP="005C38F1">
      <w:pPr>
        <w:pStyle w:val="Pasussalistom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163B8">
        <w:rPr>
          <w:rFonts w:ascii="Times New Roman" w:hAnsi="Times New Roman" w:cs="Times New Roman"/>
          <w:sz w:val="24"/>
          <w:szCs w:val="24"/>
          <w:lang w:val="sr-Cyrl-RS"/>
        </w:rPr>
        <w:t>спитивањa</w:t>
      </w:r>
      <w:proofErr w:type="spellEnd"/>
      <w:r w:rsidRPr="001163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163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средстава за исхрану биља у складу са Годишњим планом испитивања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38F1" w:rsidRPr="009F5E94" w:rsidRDefault="005C38F1" w:rsidP="005C38F1">
      <w:pPr>
        <w:pStyle w:val="Pasussalistom"/>
        <w:tabs>
          <w:tab w:val="center" w:pos="-720"/>
          <w:tab w:val="center" w:pos="4320"/>
          <w:tab w:val="right" w:pos="8640"/>
        </w:tabs>
        <w:spacing w:after="0" w:line="240" w:lineRule="auto"/>
        <w:ind w:left="142"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Министарство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задржава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право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закључи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уговор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оним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подносиоцем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пријаве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чије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понуђене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цене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одступају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просечних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тржишних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цена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Параметар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одређивање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просечних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тржишних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цена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извршено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испитивање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тржишта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овог Министарства.</w:t>
      </w:r>
    </w:p>
    <w:p w:rsidR="005C38F1" w:rsidRDefault="005C38F1" w:rsidP="005C38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38F1" w:rsidRDefault="005C38F1" w:rsidP="005C38F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F2147">
        <w:rPr>
          <w:rFonts w:ascii="Times New Roman" w:hAnsi="Times New Roman" w:cs="Times New Roman"/>
          <w:sz w:val="24"/>
          <w:szCs w:val="24"/>
          <w:lang w:val="sr-Latn-RS"/>
        </w:rPr>
        <w:t>Право</w:t>
      </w:r>
      <w:proofErr w:type="spellEnd"/>
      <w:r w:rsidRPr="004F21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  <w:lang w:val="sr-Latn-RS"/>
        </w:rPr>
        <w:t>учешћа</w:t>
      </w:r>
      <w:proofErr w:type="spellEnd"/>
      <w:r w:rsidRPr="004F21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04F21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  <w:lang w:val="sr-Latn-RS"/>
        </w:rPr>
        <w:t>овом</w:t>
      </w:r>
      <w:proofErr w:type="spellEnd"/>
      <w:r w:rsidRPr="004F21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  <w:lang w:val="sr-Latn-RS"/>
        </w:rPr>
        <w:t>конкурсу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F21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п</w:t>
      </w:r>
      <w:r w:rsidRPr="009B2604">
        <w:rPr>
          <w:rFonts w:ascii="Times New Roman" w:hAnsi="Times New Roman" w:cs="Times New Roman"/>
          <w:sz w:val="24"/>
          <w:szCs w:val="24"/>
          <w:lang w:val="sr-Cyrl-RS"/>
        </w:rPr>
        <w:t>ослове од јавног интереса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наведене</w:t>
      </w:r>
      <w:r w:rsidRPr="009B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 </w:t>
      </w:r>
      <w:r w:rsidRPr="001163B8">
        <w:rPr>
          <w:rFonts w:ascii="Times New Roman" w:hAnsi="Times New Roman" w:cs="Times New Roman"/>
          <w:sz w:val="24"/>
          <w:szCs w:val="24"/>
          <w:lang w:val="sr-Cyrl-RS"/>
        </w:rPr>
        <w:t xml:space="preserve">бројевима 1.2.,1.3., 2.2., и 2.3.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овог конкурса </w:t>
      </w:r>
      <w:proofErr w:type="spellStart"/>
      <w:r w:rsidRPr="004F2147">
        <w:rPr>
          <w:rFonts w:ascii="Times New Roman" w:hAnsi="Times New Roman" w:cs="Times New Roman"/>
          <w:sz w:val="24"/>
          <w:szCs w:val="24"/>
          <w:lang w:val="sr-Latn-RS"/>
        </w:rPr>
        <w:t>имају</w:t>
      </w:r>
      <w:proofErr w:type="spellEnd"/>
      <w:r w:rsidRPr="004F21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лабораторије</w:t>
      </w:r>
      <w:proofErr w:type="spellEnd"/>
      <w:r w:rsidRPr="005C1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7B13">
        <w:rPr>
          <w:rFonts w:ascii="Times New Roman" w:hAnsi="Times New Roman" w:cs="Times New Roman"/>
          <w:color w:val="000000"/>
          <w:sz w:val="24"/>
          <w:szCs w:val="24"/>
        </w:rPr>
        <w:t>акредитован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13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7B1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7B13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13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7B13">
        <w:rPr>
          <w:rFonts w:ascii="Times New Roman" w:hAnsi="Times New Roman" w:cs="Times New Roman"/>
          <w:color w:val="000000"/>
          <w:sz w:val="24"/>
          <w:szCs w:val="24"/>
        </w:rPr>
        <w:t>научноистраживачке</w:t>
      </w:r>
      <w:proofErr w:type="spellEnd"/>
      <w:r w:rsidRPr="0013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7B13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13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које су </w:t>
      </w:r>
      <w:proofErr w:type="spellStart"/>
      <w:r w:rsidRPr="00137B13">
        <w:rPr>
          <w:rFonts w:ascii="Times New Roman" w:hAnsi="Times New Roman" w:cs="Times New Roman"/>
          <w:color w:val="000000"/>
          <w:sz w:val="24"/>
          <w:szCs w:val="24"/>
        </w:rPr>
        <w:t>уписан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137B1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7B13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13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7B13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аучноистраживачких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којe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  <w:lang w:val="sr-Latn-RS"/>
        </w:rPr>
        <w:t>доставе</w:t>
      </w:r>
      <w:proofErr w:type="spellEnd"/>
      <w:r w:rsidRPr="004F21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  <w:lang w:val="sr-Latn-RS"/>
        </w:rPr>
        <w:t>следећу</w:t>
      </w:r>
      <w:proofErr w:type="spellEnd"/>
      <w:r w:rsidRPr="004F21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4F2147">
        <w:rPr>
          <w:rFonts w:ascii="Times New Roman" w:hAnsi="Times New Roman" w:cs="Times New Roman"/>
          <w:sz w:val="24"/>
          <w:szCs w:val="24"/>
          <w:lang w:val="sr-Latn-RS"/>
        </w:rPr>
        <w:t>документацију</w:t>
      </w:r>
      <w:proofErr w:type="spellEnd"/>
      <w:r w:rsidRPr="004F214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C38F1" w:rsidRPr="008556F2" w:rsidRDefault="005C38F1" w:rsidP="005C38F1">
      <w:pPr>
        <w:pStyle w:val="Pasussalisto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2147">
        <w:rPr>
          <w:rFonts w:ascii="Times New Roman" w:hAnsi="Times New Roman" w:cs="Times New Roman"/>
          <w:sz w:val="24"/>
          <w:szCs w:val="24"/>
          <w:lang w:val="sr-Cyrl-CS"/>
        </w:rPr>
        <w:t>Пријаву на конкурс која се подноси на Обрасцу 1 који се може преузети са сајта Управе за заштиту биља (</w:t>
      </w:r>
      <w:hyperlink r:id="rId7" w:history="1">
        <w:r w:rsidRPr="004F2147">
          <w:rPr>
            <w:rStyle w:val="Hiperveza"/>
            <w:rFonts w:ascii="Times New Roman" w:hAnsi="Times New Roman" w:cs="Times New Roman"/>
            <w:sz w:val="24"/>
            <w:szCs w:val="24"/>
            <w:lang w:val="sr-Cyrl-CS"/>
          </w:rPr>
          <w:t>www.uzb.minpolj.gov.rs</w:t>
        </w:r>
      </w:hyperlink>
      <w:r w:rsidRPr="004F2147">
        <w:rPr>
          <w:rFonts w:ascii="Times New Roman" w:hAnsi="Times New Roman" w:cs="Times New Roman"/>
          <w:sz w:val="24"/>
          <w:szCs w:val="24"/>
          <w:lang w:val="sr-Cyrl-CS"/>
        </w:rPr>
        <w:t>).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556F2">
        <w:rPr>
          <w:rFonts w:ascii="Times New Roman" w:hAnsi="Times New Roman" w:cs="Times New Roman"/>
          <w:sz w:val="24"/>
          <w:szCs w:val="24"/>
          <w:lang w:val="sr-Cyrl-CS"/>
        </w:rPr>
        <w:t xml:space="preserve">Пријава садржи основне податке о правном лицу, што подразумева пун назив и потпуну адресу, матични број, порески идентификациони број, број </w:t>
      </w:r>
      <w:r w:rsidRPr="008556F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рачуна и назив банке, име лица овлашћеног за заступање, име одговорног лица (лице које потписује извештај о испитивању, односно лице које је одговорно за издавање извештаја) које ће обављати одређене послове који су предмет уговора у складу са чланом </w:t>
      </w:r>
      <w:r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8556F2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средствима за исхрану биља</w:t>
      </w:r>
      <w:r w:rsidRPr="008556F2">
        <w:rPr>
          <w:rFonts w:ascii="Times New Roman" w:hAnsi="Times New Roman" w:cs="Times New Roman"/>
          <w:sz w:val="24"/>
          <w:szCs w:val="24"/>
          <w:lang w:val="sr-Cyrl-CS"/>
        </w:rPr>
        <w:t>, као и да јасно наведу за које групе послова достављају пријаву.</w:t>
      </w:r>
      <w:r>
        <w:rPr>
          <w:rFonts w:ascii="Times New Roman" w:hAnsi="Times New Roman" w:cs="Times New Roman"/>
          <w:color w:val="00B050"/>
          <w:sz w:val="24"/>
          <w:szCs w:val="24"/>
          <w:lang w:val="sr-Cyrl-CS"/>
        </w:rPr>
        <w:t>.</w:t>
      </w:r>
    </w:p>
    <w:p w:rsidR="005C38F1" w:rsidRPr="00434367" w:rsidRDefault="005C38F1" w:rsidP="005C38F1">
      <w:pPr>
        <w:pStyle w:val="Pasussalisto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звод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Регистра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научно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истраживачких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просвете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науке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технолошког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законске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научно-истраживачке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општег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таква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акредитована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просвете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науке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технолошког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за испитивање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исхрану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биља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оплемењивача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које је прописано да могу да раде установе/организације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акредитован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научноистраживачке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9B26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38F1" w:rsidRPr="00D81E33" w:rsidRDefault="005C38F1" w:rsidP="005C38F1">
      <w:pPr>
        <w:pStyle w:val="Pasussalisto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C53">
        <w:rPr>
          <w:rFonts w:ascii="Times New Roman" w:hAnsi="Times New Roman" w:cs="Times New Roman"/>
          <w:sz w:val="24"/>
          <w:szCs w:val="24"/>
          <w:lang w:val="sr-Cyrl-RS"/>
        </w:rPr>
        <w:t xml:space="preserve">Податке о одговорном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стручн</w:t>
      </w:r>
      <w:proofErr w:type="spellEnd"/>
      <w:r w:rsidRPr="005C1C53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лиц</w:t>
      </w:r>
      <w:proofErr w:type="spellEnd"/>
      <w:r w:rsidRPr="005C1C5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r w:rsidRPr="005C1C53">
        <w:rPr>
          <w:rFonts w:ascii="Times New Roman" w:hAnsi="Times New Roman" w:cs="Times New Roman"/>
          <w:sz w:val="24"/>
          <w:szCs w:val="24"/>
          <w:lang w:val="sr-Cyrl-RS"/>
        </w:rPr>
        <w:t xml:space="preserve">које мора да има звање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доктора</w:t>
      </w:r>
      <w:proofErr w:type="spellEnd"/>
      <w:r w:rsidRPr="005C1C53">
        <w:rPr>
          <w:rFonts w:ascii="Times New Roman" w:hAnsi="Times New Roman" w:cs="Times New Roman"/>
          <w:sz w:val="24"/>
          <w:szCs w:val="24"/>
          <w:lang w:val="sr-Cyrl-RS"/>
        </w:rPr>
        <w:t xml:space="preserve"> или магистра,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биотехничких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хемијских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биохемијских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C1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1C5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Образац</w:t>
      </w:r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C1C53">
        <w:rPr>
          <w:rFonts w:ascii="Times New Roman" w:hAnsi="Times New Roman" w:cs="Times New Roman"/>
          <w:sz w:val="24"/>
          <w:szCs w:val="24"/>
        </w:rPr>
        <w:t>):</w:t>
      </w:r>
    </w:p>
    <w:p w:rsidR="005C38F1" w:rsidRPr="005C1C53" w:rsidRDefault="005C38F1" w:rsidP="005C38F1">
      <w:pPr>
        <w:pStyle w:val="Pasussalisto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Пода</w:t>
      </w:r>
      <w:r w:rsidRPr="005C1C53">
        <w:rPr>
          <w:rFonts w:ascii="Times New Roman" w:hAnsi="Times New Roman" w:cs="Times New Roman"/>
          <w:sz w:val="24"/>
          <w:szCs w:val="24"/>
          <w:lang w:val="sr-Cyrl-RS"/>
        </w:rPr>
        <w:t>тке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објект</w:t>
      </w:r>
      <w:proofErr w:type="spellEnd"/>
      <w:r w:rsidRPr="005C1C53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5C1C53">
        <w:rPr>
          <w:rFonts w:ascii="Times New Roman" w:hAnsi="Times New Roman" w:cs="Times New Roman"/>
          <w:sz w:val="24"/>
          <w:szCs w:val="24"/>
          <w:lang w:val="sr-Latn-RS"/>
        </w:rPr>
        <w:t>(б</w:t>
      </w:r>
      <w:r w:rsidRPr="005C1C53">
        <w:rPr>
          <w:rFonts w:ascii="Times New Roman" w:hAnsi="Times New Roman" w:cs="Times New Roman"/>
          <w:sz w:val="24"/>
          <w:szCs w:val="24"/>
          <w:lang w:val="sr-Cyrl-RS"/>
        </w:rPr>
        <w:t>рој и намена просторија за рад</w:t>
      </w:r>
      <w:r w:rsidRPr="005C1C53">
        <w:rPr>
          <w:rFonts w:ascii="Times New Roman" w:hAnsi="Times New Roman" w:cs="Times New Roman"/>
          <w:sz w:val="24"/>
          <w:szCs w:val="24"/>
          <w:lang w:val="sr-Latn-RS"/>
        </w:rPr>
        <w:t>)-</w:t>
      </w:r>
      <w:r w:rsidRPr="005C1C5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Образац</w:t>
      </w:r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C1C53">
        <w:rPr>
          <w:rFonts w:ascii="Times New Roman" w:hAnsi="Times New Roman" w:cs="Times New Roman"/>
          <w:sz w:val="24"/>
          <w:szCs w:val="24"/>
        </w:rPr>
        <w:t>):</w:t>
      </w:r>
    </w:p>
    <w:p w:rsidR="005C38F1" w:rsidRPr="005C1C53" w:rsidRDefault="005C38F1" w:rsidP="005C38F1">
      <w:pPr>
        <w:pStyle w:val="Pasussalisto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опреми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уређајима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испитивање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хемијских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физичких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особина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r w:rsidRPr="005C1C53">
        <w:rPr>
          <w:rFonts w:ascii="Times New Roman" w:hAnsi="Times New Roman" w:cs="Times New Roman"/>
          <w:sz w:val="24"/>
          <w:szCs w:val="24"/>
          <w:lang w:val="sr-Cyrl-RS"/>
        </w:rPr>
        <w:t>исхрану биља и оплемењивача земљишта</w:t>
      </w:r>
      <w:r w:rsidRPr="005C1C5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Образац</w:t>
      </w:r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5C1C53">
        <w:rPr>
          <w:rFonts w:ascii="Times New Roman" w:hAnsi="Times New Roman" w:cs="Times New Roman"/>
          <w:sz w:val="24"/>
          <w:szCs w:val="24"/>
        </w:rPr>
        <w:t>):</w:t>
      </w:r>
    </w:p>
    <w:p w:rsidR="005C38F1" w:rsidRPr="00434367" w:rsidRDefault="005C38F1" w:rsidP="005C38F1">
      <w:pPr>
        <w:pStyle w:val="Pasussalisto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1C53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proofErr w:type="gram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искуству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струци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уговори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442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A844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84420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A8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спремом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5C1C5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завршеном</w:t>
      </w:r>
      <w:proofErr w:type="spellEnd"/>
      <w:r w:rsidRPr="005C1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C1C53">
        <w:rPr>
          <w:rFonts w:ascii="Times New Roman" w:hAnsi="Times New Roman" w:cs="Times New Roman"/>
          <w:sz w:val="24"/>
          <w:szCs w:val="24"/>
        </w:rPr>
        <w:t>докторату</w:t>
      </w:r>
      <w:proofErr w:type="spellEnd"/>
      <w:r w:rsidRPr="005C1C53">
        <w:rPr>
          <w:rFonts w:ascii="Times New Roman" w:hAnsi="Times New Roman" w:cs="Times New Roman"/>
          <w:sz w:val="24"/>
          <w:szCs w:val="24"/>
          <w:lang w:val="sr-Cyrl-RS"/>
        </w:rPr>
        <w:t xml:space="preserve"> или магистратури. </w:t>
      </w:r>
    </w:p>
    <w:p w:rsidR="005C38F1" w:rsidRPr="004632E4" w:rsidRDefault="005C38F1" w:rsidP="005C38F1">
      <w:pPr>
        <w:pStyle w:val="Pasussalisto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3B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1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3B8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11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3B8">
        <w:rPr>
          <w:rFonts w:ascii="Times New Roman" w:hAnsi="Times New Roman" w:cs="Times New Roman"/>
          <w:sz w:val="24"/>
          <w:szCs w:val="24"/>
        </w:rPr>
        <w:t>лабораторијских</w:t>
      </w:r>
      <w:proofErr w:type="spellEnd"/>
      <w:r w:rsidRPr="0011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3B8">
        <w:rPr>
          <w:rFonts w:ascii="Times New Roman" w:hAnsi="Times New Roman" w:cs="Times New Roman"/>
          <w:sz w:val="24"/>
          <w:szCs w:val="24"/>
        </w:rPr>
        <w:t>испитивања</w:t>
      </w:r>
      <w:proofErr w:type="spellEnd"/>
      <w:r w:rsidRPr="001163B8">
        <w:rPr>
          <w:rFonts w:ascii="Times New Roman" w:hAnsi="Times New Roman" w:cs="Times New Roman"/>
          <w:sz w:val="24"/>
          <w:szCs w:val="24"/>
        </w:rPr>
        <w:t xml:space="preserve"> </w:t>
      </w:r>
      <w:r w:rsidRPr="001163B8">
        <w:rPr>
          <w:rFonts w:ascii="Times New Roman" w:hAnsi="Times New Roman" w:cs="Times New Roman"/>
          <w:sz w:val="24"/>
          <w:szCs w:val="24"/>
          <w:lang w:val="sr-Cyrl-RS"/>
        </w:rPr>
        <w:t xml:space="preserve">узорака узетих у поступку контроле </w:t>
      </w:r>
      <w:proofErr w:type="spellStart"/>
      <w:r w:rsidRPr="001163B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116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8F1" w:rsidRDefault="005C38F1" w:rsidP="005C38F1">
      <w:pPr>
        <w:pStyle w:val="Pasussalistom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1163B8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1163B8">
        <w:rPr>
          <w:rFonts w:ascii="Times New Roman" w:hAnsi="Times New Roman" w:cs="Times New Roman"/>
          <w:sz w:val="24"/>
          <w:szCs w:val="24"/>
        </w:rPr>
        <w:t xml:space="preserve"> </w:t>
      </w:r>
      <w:r w:rsidRPr="001163B8">
        <w:rPr>
          <w:rFonts w:ascii="Times New Roman" w:hAnsi="Times New Roman" w:cs="Times New Roman"/>
          <w:sz w:val="24"/>
          <w:szCs w:val="24"/>
          <w:lang w:val="sr-Cyrl-RS"/>
        </w:rPr>
        <w:t xml:space="preserve">исхрану биља и оплемењивача земљишта у производњи, промету, увозу и </w:t>
      </w:r>
    </w:p>
    <w:p w:rsidR="005C38F1" w:rsidRPr="004632E4" w:rsidRDefault="005C38F1" w:rsidP="005C38F1">
      <w:pPr>
        <w:pStyle w:val="Pasussalistom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163B8">
        <w:rPr>
          <w:rFonts w:ascii="Times New Roman" w:hAnsi="Times New Roman" w:cs="Times New Roman"/>
          <w:sz w:val="24"/>
          <w:szCs w:val="24"/>
          <w:lang w:val="sr-Cyrl-RS"/>
        </w:rPr>
        <w:t>испитивањa</w:t>
      </w:r>
      <w:proofErr w:type="spellEnd"/>
      <w:r w:rsidRPr="001163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163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средстава за исхрану биља у складу са Годишњим планом испитивања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38F1" w:rsidRPr="001163B8" w:rsidRDefault="005C38F1" w:rsidP="005C38F1">
      <w:pPr>
        <w:ind w:left="709" w:firstLine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Министарство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задржава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право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закључи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уговор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оним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подносиоцем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пријаве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чије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понуђене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цене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одступају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просечних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тржишних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цена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Параметар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одређивање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просечних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тржишних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цена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извршено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испитивање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тржишта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9F5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E94">
        <w:rPr>
          <w:rFonts w:ascii="Times New Roman" w:hAnsi="Times New Roman" w:cs="Times New Roman"/>
          <w:i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овог Министарства</w:t>
      </w:r>
    </w:p>
    <w:p w:rsidR="005C38F1" w:rsidRPr="00EA47DC" w:rsidRDefault="005C38F1" w:rsidP="005C38F1">
      <w:pPr>
        <w:pStyle w:val="Pasussalistom"/>
        <w:ind w:left="709" w:firstLine="3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420">
        <w:rPr>
          <w:rFonts w:ascii="Times New Roman" w:hAnsi="Times New Roman" w:cs="Times New Roman"/>
          <w:sz w:val="24"/>
          <w:szCs w:val="24"/>
          <w:lang w:val="ru-RU"/>
        </w:rPr>
        <w:t>Предмет разматрања ће бити</w:t>
      </w:r>
      <w:r w:rsidRPr="00EA47DC">
        <w:rPr>
          <w:rFonts w:ascii="Times New Roman" w:hAnsi="Times New Roman" w:cs="Times New Roman"/>
          <w:sz w:val="24"/>
          <w:szCs w:val="24"/>
          <w:lang w:val="ru-RU"/>
        </w:rPr>
        <w:t xml:space="preserve"> само благовремене, потпуне и пријаве које садрже сву тражену документацију. </w:t>
      </w:r>
      <w:r w:rsidRPr="00EA47DC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чланови Комисије оцене да је потребно, може се извршити и провера података из пријаве на терену, као и тражење додатних објашњења од подносилаца пријава, </w:t>
      </w:r>
      <w:r w:rsidRPr="00EA47DC">
        <w:rPr>
          <w:rFonts w:ascii="Times New Roman" w:hAnsi="Times New Roman" w:cs="Times New Roman"/>
          <w:sz w:val="24"/>
          <w:szCs w:val="24"/>
          <w:lang w:val="ru-RU"/>
        </w:rPr>
        <w:t xml:space="preserve">након чега ће бити донета коначна оцена пријава и одлука о избору. </w:t>
      </w:r>
      <w:r w:rsidRPr="00EA47DC">
        <w:rPr>
          <w:rFonts w:ascii="Times New Roman" w:hAnsi="Times New Roman" w:cs="Times New Roman"/>
          <w:sz w:val="24"/>
          <w:szCs w:val="24"/>
          <w:lang w:val="sr-Cyrl-CS"/>
        </w:rPr>
        <w:t>Неблаговремене, неразумљиве или непотпуне пријаве и пријаве уз које нису приложени сви потребни докази</w:t>
      </w:r>
      <w:r w:rsidRPr="00A84420">
        <w:rPr>
          <w:rFonts w:ascii="Times New Roman" w:hAnsi="Times New Roman" w:cs="Times New Roman"/>
          <w:sz w:val="24"/>
          <w:szCs w:val="24"/>
          <w:lang w:val="sr-Cyrl-CS"/>
        </w:rPr>
        <w:t>(осим Извода из АПР)</w:t>
      </w:r>
      <w:r w:rsidRPr="00EA47DC">
        <w:rPr>
          <w:rFonts w:ascii="Times New Roman" w:hAnsi="Times New Roman" w:cs="Times New Roman"/>
          <w:sz w:val="24"/>
          <w:szCs w:val="24"/>
          <w:lang w:val="sr-Cyrl-CS"/>
        </w:rPr>
        <w:t>, биће одбачене.</w:t>
      </w:r>
      <w:r w:rsidRPr="00EA47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38F1" w:rsidRPr="009B2604" w:rsidRDefault="005C38F1" w:rsidP="005C38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оригиналу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оверенoј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копији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заинтересованог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9B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осликавају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реално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тренутку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>.</w:t>
      </w:r>
    </w:p>
    <w:p w:rsidR="005C38F1" w:rsidRDefault="005C38F1" w:rsidP="005C38F1">
      <w:pPr>
        <w:ind w:left="709" w:firstLine="1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685F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подношење пријава је </w:t>
      </w:r>
      <w:r w:rsidRPr="00C8685F">
        <w:rPr>
          <w:rFonts w:ascii="Times New Roman" w:hAnsi="Times New Roman" w:cs="Times New Roman"/>
          <w:sz w:val="24"/>
          <w:szCs w:val="24"/>
          <w:lang w:val="sr-Cyrl-CS"/>
        </w:rPr>
        <w:t xml:space="preserve">15 дана од дана објављивања конкурса у „Службеном </w:t>
      </w:r>
      <w:r w:rsidRPr="00C8685F">
        <w:rPr>
          <w:rFonts w:ascii="Times New Roman" w:hAnsi="Times New Roman" w:cs="Times New Roman"/>
          <w:sz w:val="24"/>
          <w:szCs w:val="24"/>
          <w:lang w:val="sr-Cyrl-RS"/>
        </w:rPr>
        <w:t xml:space="preserve"> гласнику Републике Србије“</w:t>
      </w:r>
      <w:r w:rsidRPr="0002598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A84420">
        <w:rPr>
          <w:rFonts w:ascii="Times New Roman" w:hAnsi="Times New Roman" w:cs="Times New Roman"/>
          <w:sz w:val="24"/>
          <w:szCs w:val="24"/>
          <w:lang w:val="sr-Cyrl-RS"/>
        </w:rPr>
        <w:t>и почиње да тече  првог наредног дана од дана објављивања</w:t>
      </w:r>
      <w:r w:rsidRPr="00C8685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86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C38F1" w:rsidRPr="00C8685F" w:rsidRDefault="005C38F1" w:rsidP="005C38F1">
      <w:pPr>
        <w:ind w:left="709" w:firstLine="1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685F">
        <w:rPr>
          <w:rFonts w:ascii="Times New Roman" w:hAnsi="Times New Roman" w:cs="Times New Roman"/>
          <w:sz w:val="24"/>
          <w:szCs w:val="24"/>
          <w:lang w:val="sr-Cyrl-CS"/>
        </w:rPr>
        <w:t>Пријаве на конкурс уз тражену документацију доставити у затвореној коверти на следећу адресу:</w:t>
      </w:r>
    </w:p>
    <w:p w:rsidR="005C38F1" w:rsidRPr="00C8685F" w:rsidRDefault="005C38F1" w:rsidP="005C38F1">
      <w:pPr>
        <w:tabs>
          <w:tab w:val="left" w:pos="1440"/>
        </w:tabs>
        <w:spacing w:after="0"/>
        <w:ind w:left="709" w:firstLine="11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C8685F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Министарство пољопривреде, шумарства и водопривреде</w:t>
      </w:r>
    </w:p>
    <w:p w:rsidR="005C38F1" w:rsidRPr="00C8685F" w:rsidRDefault="005C38F1" w:rsidP="005C38F1">
      <w:pPr>
        <w:tabs>
          <w:tab w:val="left" w:pos="1440"/>
        </w:tabs>
        <w:spacing w:after="0"/>
        <w:ind w:left="709" w:firstLine="11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C8685F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Управа за заштиту биља</w:t>
      </w:r>
    </w:p>
    <w:p w:rsidR="005C38F1" w:rsidRPr="00C8685F" w:rsidRDefault="005C38F1" w:rsidP="005C38F1">
      <w:pPr>
        <w:tabs>
          <w:tab w:val="left" w:pos="1440"/>
        </w:tabs>
        <w:spacing w:after="0"/>
        <w:ind w:left="709" w:firstLine="11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C8685F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Омладинских бригада 1</w:t>
      </w:r>
    </w:p>
    <w:p w:rsidR="005C38F1" w:rsidRPr="00C8685F" w:rsidRDefault="005C38F1" w:rsidP="005C38F1">
      <w:pPr>
        <w:tabs>
          <w:tab w:val="left" w:pos="1440"/>
        </w:tabs>
        <w:spacing w:after="0"/>
        <w:ind w:left="709" w:firstLine="11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C8685F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11070 Нови Београд</w:t>
      </w:r>
    </w:p>
    <w:p w:rsidR="005C38F1" w:rsidRPr="00C8685F" w:rsidRDefault="005C38F1" w:rsidP="005C38F1">
      <w:pPr>
        <w:ind w:left="709" w:firstLine="1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685F">
        <w:rPr>
          <w:rFonts w:ascii="Times New Roman" w:hAnsi="Times New Roman" w:cs="Times New Roman"/>
          <w:sz w:val="24"/>
          <w:szCs w:val="24"/>
          <w:lang w:val="sr-Cyrl-CS"/>
        </w:rPr>
        <w:t xml:space="preserve">са назнаком </w:t>
      </w:r>
    </w:p>
    <w:p w:rsidR="005C38F1" w:rsidRPr="00C8685F" w:rsidRDefault="005C38F1" w:rsidP="005C38F1">
      <w:pPr>
        <w:ind w:left="709" w:firstLine="1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8685F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proofErr w:type="spellStart"/>
      <w:r w:rsidRPr="00F87555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Pr="00F87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755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87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7555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Pr="00F87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755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87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7555">
        <w:rPr>
          <w:rFonts w:ascii="Times New Roman" w:hAnsi="Times New Roman" w:cs="Times New Roman"/>
          <w:b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лабораторијских испитивања</w:t>
      </w:r>
      <w:r w:rsidRPr="00F875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области </w:t>
      </w:r>
      <w:proofErr w:type="spellStart"/>
      <w:r w:rsidRPr="00F87555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F87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755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87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555">
        <w:rPr>
          <w:rFonts w:ascii="Times New Roman" w:hAnsi="Times New Roman" w:cs="Times New Roman"/>
          <w:b/>
          <w:sz w:val="24"/>
          <w:szCs w:val="24"/>
          <w:lang w:val="sr-Cyrl-RS"/>
        </w:rPr>
        <w:t>исхрану биља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бр. 321-01-23/22-11</w:t>
      </w:r>
      <w:r w:rsidRPr="00F87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555">
        <w:rPr>
          <w:rFonts w:ascii="Times New Roman" w:hAnsi="Times New Roman" w:cs="Times New Roman"/>
          <w:b/>
          <w:sz w:val="24"/>
          <w:szCs w:val="24"/>
          <w:lang w:val="sr-Cyrl-RS"/>
        </w:rPr>
        <w:t>НЕ ОТВАРАТИ</w:t>
      </w:r>
      <w:r w:rsidRPr="00F87555">
        <w:rPr>
          <w:rFonts w:ascii="Times New Roman" w:hAnsi="Times New Roman" w:cs="Times New Roman"/>
          <w:b/>
          <w:sz w:val="24"/>
          <w:szCs w:val="24"/>
        </w:rPr>
        <w:t>”.</w:t>
      </w:r>
      <w:r w:rsidRPr="00C8685F">
        <w:rPr>
          <w:rFonts w:ascii="Times New Roman" w:hAnsi="Times New Roman" w:cs="Times New Roman"/>
          <w:sz w:val="24"/>
          <w:szCs w:val="24"/>
          <w:lang w:val="sr-Cyrl-CS"/>
        </w:rPr>
        <w:t>".</w:t>
      </w:r>
    </w:p>
    <w:p w:rsidR="005C38F1" w:rsidRPr="00F87555" w:rsidRDefault="005C38F1" w:rsidP="005C38F1">
      <w:pPr>
        <w:tabs>
          <w:tab w:val="left" w:pos="144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7555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се пријава предаје лично на писарници Републичких органа, обавезно је уз пријаву припремити пропратни допис који је насловљен на МИНИСТАРСТВО ПОЉОПРИВРЕДЕ, ШУМАРСТВА И ВОДОПРИВРЕДЕ, Управа за заштиту биља, Омладинских бригада 1, 11070  Нови Београд, који ће бити оверен од стране службеника </w:t>
      </w:r>
      <w:r w:rsidRPr="00F8755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писарнице и служиће подносиоцу пријаве као потврда о пријему пријаве. У тексту дописа навести следеће:</w:t>
      </w:r>
    </w:p>
    <w:p w:rsidR="005C38F1" w:rsidRPr="00D450C6" w:rsidRDefault="005C38F1" w:rsidP="005C38F1">
      <w:pPr>
        <w:spacing w:after="0"/>
        <w:ind w:left="709" w:firstLine="731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45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„У прилогу дописа достављамо вам </w:t>
      </w:r>
      <w:r w:rsidRPr="00D450C6">
        <w:rPr>
          <w:rFonts w:ascii="Times New Roman" w:hAnsi="Times New Roman" w:cs="Times New Roman"/>
          <w:b/>
          <w:sz w:val="24"/>
          <w:szCs w:val="24"/>
          <w:lang w:val="sr-Cyrl-CS"/>
        </w:rPr>
        <w:t>пријаву на конкурс за обављање лабораторијских испитивања у области средстава за исхрану биља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</w:t>
      </w:r>
      <w:r w:rsidRPr="00D450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450C6">
        <w:rPr>
          <w:rFonts w:ascii="Times New Roman" w:hAnsi="Times New Roman" w:cs="Times New Roman"/>
          <w:b/>
          <w:sz w:val="24"/>
          <w:szCs w:val="24"/>
          <w:lang w:val="sr-Cyrl-RS"/>
        </w:rPr>
        <w:t>бр. 321-01-23/22-11</w:t>
      </w:r>
      <w:r w:rsidRPr="00D45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0C6">
        <w:rPr>
          <w:rFonts w:ascii="Times New Roman" w:hAnsi="Times New Roman" w:cs="Times New Roman"/>
          <w:b/>
          <w:sz w:val="24"/>
          <w:szCs w:val="24"/>
          <w:lang w:val="sr-Cyrl-CS"/>
        </w:rPr>
        <w:t>- НЕ ОТВАРАТИ</w:t>
      </w:r>
      <w:r w:rsidRPr="00D450C6">
        <w:rPr>
          <w:rFonts w:ascii="Times New Roman" w:hAnsi="Times New Roman" w:cs="Times New Roman"/>
          <w:b/>
          <w:sz w:val="24"/>
          <w:szCs w:val="24"/>
          <w:lang w:val="sr-Cyrl-RS"/>
        </w:rPr>
        <w:t>“.</w:t>
      </w:r>
    </w:p>
    <w:p w:rsidR="005C38F1" w:rsidRPr="009B2604" w:rsidRDefault="005C38F1" w:rsidP="005C38F1">
      <w:pPr>
        <w:autoSpaceDE w:val="0"/>
        <w:autoSpaceDN w:val="0"/>
        <w:adjustRightInd w:val="0"/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одредби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регулишу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материју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поништи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B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престанком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поверавањем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раскине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евентуално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закључене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о</w:t>
      </w:r>
      <w:r w:rsidRPr="009B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поверавању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евентуалну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могло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доћи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измакле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раскидом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>.</w:t>
      </w:r>
    </w:p>
    <w:p w:rsidR="005C38F1" w:rsidRPr="000340C7" w:rsidRDefault="005C38F1" w:rsidP="005C38F1">
      <w:pPr>
        <w:ind w:left="709" w:firstLine="73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84420">
        <w:rPr>
          <w:rFonts w:ascii="Times New Roman" w:hAnsi="Times New Roman" w:cs="Times New Roman"/>
          <w:sz w:val="24"/>
          <w:szCs w:val="24"/>
          <w:lang w:val="ru-RU"/>
        </w:rPr>
        <w:t xml:space="preserve">Одлука о избору </w:t>
      </w:r>
      <w:r w:rsidRPr="00A84420">
        <w:rPr>
          <w:rFonts w:ascii="Times New Roman" w:hAnsi="Times New Roman" w:cs="Times New Roman"/>
          <w:sz w:val="24"/>
          <w:szCs w:val="24"/>
          <w:lang w:val="sr-Cyrl-CS"/>
        </w:rPr>
        <w:t>лабораторија</w:t>
      </w:r>
      <w:r w:rsidRPr="00A84420">
        <w:rPr>
          <w:rFonts w:ascii="Times New Roman" w:hAnsi="Times New Roman" w:cs="Times New Roman"/>
          <w:sz w:val="24"/>
          <w:szCs w:val="24"/>
          <w:lang w:val="ru-RU"/>
        </w:rPr>
        <w:t xml:space="preserve"> биће донета најкасније у року од 30 дана од последњег дана рока за подношење пријава и </w:t>
      </w:r>
      <w:r w:rsidRPr="00B10E88">
        <w:rPr>
          <w:rFonts w:ascii="Times New Roman" w:hAnsi="Times New Roman" w:cs="Times New Roman"/>
          <w:sz w:val="24"/>
          <w:szCs w:val="24"/>
          <w:lang w:val="ru-RU"/>
        </w:rPr>
        <w:t xml:space="preserve">достављена свим учеснцима конкурса/објављена на сајту министарства, односно Управе за заштиту биља. </w:t>
      </w:r>
      <w:r w:rsidRPr="00A84420">
        <w:rPr>
          <w:rFonts w:ascii="Times New Roman" w:hAnsi="Times New Roman" w:cs="Times New Roman"/>
          <w:sz w:val="24"/>
          <w:szCs w:val="24"/>
          <w:lang w:val="sr-Cyrl-CS"/>
        </w:rPr>
        <w:t>Незадовољни одлуком могу поднети приговор на одлуку року од 8 дана. Одлука по уложеном приговору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84420">
        <w:rPr>
          <w:rFonts w:ascii="Times New Roman" w:hAnsi="Times New Roman" w:cs="Times New Roman"/>
          <w:sz w:val="24"/>
          <w:szCs w:val="24"/>
          <w:lang w:val="sr-Cyrl-CS"/>
        </w:rPr>
        <w:t xml:space="preserve">је коначна.  Након доношења коначне одлуке о избору иста ће бити објављена у „Службеном гласнику РС“ као и на интернет </w:t>
      </w:r>
      <w:r w:rsidRPr="000340C7">
        <w:rPr>
          <w:rFonts w:ascii="Times New Roman" w:hAnsi="Times New Roman" w:cs="Times New Roman"/>
          <w:sz w:val="24"/>
          <w:szCs w:val="24"/>
          <w:lang w:val="sr-Cyrl-CS"/>
        </w:rPr>
        <w:t xml:space="preserve">страници  Министарства и Управе за заштиту биља. </w:t>
      </w:r>
    </w:p>
    <w:p w:rsidR="005C38F1" w:rsidRPr="000340C7" w:rsidRDefault="005C38F1" w:rsidP="005C38F1">
      <w:pPr>
        <w:ind w:left="709" w:firstLine="731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340C7">
        <w:rPr>
          <w:rFonts w:ascii="Times New Roman" w:hAnsi="Times New Roman" w:cs="Times New Roman"/>
          <w:sz w:val="24"/>
          <w:szCs w:val="24"/>
          <w:lang w:val="sr-Cyrl-CS"/>
        </w:rPr>
        <w:t>Након објављивања коначне одлуке о избору лабораторија, Министарство ће са изабраним лабораторијама/правним лицима закључити уговоре којим ће детаљно бити регулисана права и обавезе уговорних страна.</w:t>
      </w:r>
    </w:p>
    <w:p w:rsidR="005C38F1" w:rsidRPr="00B34358" w:rsidRDefault="005C38F1" w:rsidP="005C38F1">
      <w:pPr>
        <w:autoSpaceDE w:val="0"/>
        <w:autoSpaceDN w:val="0"/>
        <w:adjustRightInd w:val="0"/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D09">
        <w:rPr>
          <w:rFonts w:ascii="Times New Roman" w:hAnsi="Times New Roman" w:cs="Times New Roman"/>
          <w:sz w:val="24"/>
          <w:szCs w:val="24"/>
          <w:lang w:val="ru-RU"/>
        </w:rPr>
        <w:t>Све додатне информације у вези са овим конкурсом могу се, у писаном облику</w:t>
      </w:r>
      <w:r w:rsidRPr="00850D09">
        <w:rPr>
          <w:rFonts w:ascii="Times New Roman" w:hAnsi="Times New Roman" w:cs="Times New Roman"/>
          <w:sz w:val="24"/>
          <w:szCs w:val="24"/>
          <w:lang w:val="sr-Cyrl-CS"/>
        </w:rPr>
        <w:t xml:space="preserve"> путем електронске поште</w:t>
      </w:r>
      <w:r w:rsidRPr="00850D09">
        <w:rPr>
          <w:rFonts w:ascii="Times New Roman" w:hAnsi="Times New Roman" w:cs="Times New Roman"/>
          <w:sz w:val="24"/>
          <w:szCs w:val="24"/>
          <w:lang w:val="ru-RU"/>
        </w:rPr>
        <w:t xml:space="preserve">, тражити најкасније до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50D09">
        <w:rPr>
          <w:rFonts w:ascii="Times New Roman" w:hAnsi="Times New Roman" w:cs="Times New Roman"/>
          <w:sz w:val="24"/>
          <w:szCs w:val="24"/>
          <w:lang w:val="ru-RU"/>
        </w:rPr>
        <w:t xml:space="preserve"> дана пре истека рока за подношење пријава.</w:t>
      </w:r>
      <w:r w:rsidRPr="00850D09">
        <w:rPr>
          <w:rFonts w:ascii="Times New Roman" w:hAnsi="Times New Roman" w:cs="Times New Roman"/>
          <w:sz w:val="24"/>
          <w:szCs w:val="24"/>
          <w:lang w:val="sr-Cyrl-CS"/>
        </w:rPr>
        <w:t xml:space="preserve"> Електронска адреса преко које ће се вршити комуникација и достављање одговора, појашњења и сл. је </w:t>
      </w:r>
      <w:r w:rsidRPr="00850D09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9B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2604">
        <w:rPr>
          <w:rFonts w:ascii="Times New Roman" w:hAnsi="Times New Roman" w:cs="Times New Roman"/>
          <w:sz w:val="24"/>
          <w:szCs w:val="24"/>
          <w:lang w:val="en-US"/>
        </w:rPr>
        <w:t>ivana.kecman@minpolj.gov.rs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38F1" w:rsidRPr="009B2604" w:rsidRDefault="005C38F1" w:rsidP="005C38F1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 w:cs="Times New Roman"/>
          <w:sz w:val="24"/>
          <w:szCs w:val="24"/>
        </w:rPr>
      </w:pPr>
    </w:p>
    <w:p w:rsidR="005C38F1" w:rsidRPr="009B2604" w:rsidRDefault="005C38F1" w:rsidP="005C38F1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9B260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9B260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B2604">
        <w:rPr>
          <w:rFonts w:ascii="Times New Roman" w:hAnsi="Times New Roman" w:cs="Times New Roman"/>
          <w:sz w:val="24"/>
          <w:szCs w:val="24"/>
        </w:rPr>
        <w:t xml:space="preserve">. </w:t>
      </w:r>
      <w:r w:rsidRPr="009B2604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9B2604">
        <w:rPr>
          <w:rFonts w:ascii="Times New Roman" w:hAnsi="Times New Roman" w:cs="Times New Roman"/>
          <w:sz w:val="24"/>
          <w:szCs w:val="24"/>
        </w:rPr>
        <w:t>одине</w:t>
      </w:r>
      <w:proofErr w:type="spellEnd"/>
    </w:p>
    <w:p w:rsidR="005C38F1" w:rsidRPr="00A84420" w:rsidRDefault="005C38F1" w:rsidP="005C38F1">
      <w:pPr>
        <w:tabs>
          <w:tab w:val="center" w:pos="-720"/>
          <w:tab w:val="center" w:pos="4320"/>
          <w:tab w:val="right" w:pos="8640"/>
        </w:tabs>
        <w:spacing w:after="0" w:line="240" w:lineRule="auto"/>
        <w:ind w:left="709" w:right="-360" w:firstLine="1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5C38F1" w:rsidRPr="00A84420" w:rsidRDefault="005C38F1" w:rsidP="005C38F1">
      <w:pPr>
        <w:tabs>
          <w:tab w:val="center" w:pos="-720"/>
          <w:tab w:val="center" w:pos="4320"/>
          <w:tab w:val="right" w:pos="8640"/>
        </w:tabs>
        <w:spacing w:after="0" w:line="240" w:lineRule="auto"/>
        <w:ind w:left="709" w:right="-360" w:firstLine="1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5C38F1" w:rsidRPr="00A84420" w:rsidRDefault="005C38F1" w:rsidP="005C38F1">
      <w:pPr>
        <w:tabs>
          <w:tab w:val="center" w:pos="-720"/>
          <w:tab w:val="center" w:pos="4320"/>
          <w:tab w:val="right" w:pos="8640"/>
        </w:tabs>
        <w:spacing w:after="0" w:line="240" w:lineRule="auto"/>
        <w:ind w:left="709" w:right="-360" w:firstLine="11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sectPr w:rsidR="005C38F1" w:rsidRPr="00A84420" w:rsidSect="00C44C92">
          <w:pgSz w:w="11906" w:h="16838"/>
          <w:pgMar w:top="851" w:right="709" w:bottom="709" w:left="851" w:header="708" w:footer="708" w:gutter="0"/>
          <w:cols w:space="708"/>
          <w:docGrid w:linePitch="360"/>
        </w:sectPr>
      </w:pPr>
    </w:p>
    <w:p w:rsidR="005C38F1" w:rsidRPr="00A84420" w:rsidRDefault="005C38F1" w:rsidP="005C38F1">
      <w:pPr>
        <w:tabs>
          <w:tab w:val="center" w:pos="-720"/>
          <w:tab w:val="center" w:pos="4320"/>
          <w:tab w:val="right" w:pos="8640"/>
        </w:tabs>
        <w:spacing w:after="0" w:line="240" w:lineRule="auto"/>
        <w:ind w:left="709" w:right="-360" w:firstLine="11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5C38F1" w:rsidRPr="00B114E1" w:rsidRDefault="005C38F1" w:rsidP="005C38F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114E1">
        <w:rPr>
          <w:rFonts w:ascii="Times New Roman" w:hAnsi="Times New Roman" w:cs="Times New Roman"/>
          <w:b/>
          <w:sz w:val="24"/>
          <w:szCs w:val="24"/>
          <w:lang w:val="sr-Cyrl-RS"/>
        </w:rPr>
        <w:t>ОБРАЗАЦ 1</w:t>
      </w:r>
    </w:p>
    <w:p w:rsidR="005C38F1" w:rsidRDefault="005C38F1" w:rsidP="005C3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C38F1" w:rsidRPr="009A5C5F" w:rsidRDefault="005C38F1" w:rsidP="005C3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A5C5F">
        <w:rPr>
          <w:rFonts w:ascii="Times New Roman" w:hAnsi="Times New Roman" w:cs="Times New Roman"/>
          <w:b/>
          <w:sz w:val="24"/>
          <w:szCs w:val="24"/>
          <w:lang w:val="sr-Cyrl-CS"/>
        </w:rPr>
        <w:t>ПРИЈАВА НА КОНКУРС</w:t>
      </w:r>
    </w:p>
    <w:p w:rsidR="005C38F1" w:rsidRPr="009A5C5F" w:rsidRDefault="005C38F1" w:rsidP="005C38F1">
      <w:pPr>
        <w:spacing w:after="0"/>
        <w:jc w:val="center"/>
        <w:rPr>
          <w:b/>
          <w:sz w:val="24"/>
          <w:szCs w:val="24"/>
          <w:lang w:val="sr-Cyrl-RS"/>
        </w:rPr>
      </w:pPr>
      <w:r w:rsidRPr="009A5C5F">
        <w:rPr>
          <w:b/>
          <w:sz w:val="24"/>
          <w:szCs w:val="24"/>
          <w:lang w:val="sr-Cyrl-CS"/>
        </w:rPr>
        <w:t xml:space="preserve">за </w:t>
      </w:r>
      <w:proofErr w:type="spellStart"/>
      <w:r w:rsidRPr="00F87555">
        <w:rPr>
          <w:rFonts w:ascii="Times New Roman" w:hAnsi="Times New Roman" w:cs="Times New Roman"/>
          <w:b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лабораторијских испитивања</w:t>
      </w:r>
      <w:r w:rsidRPr="00F875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области </w:t>
      </w:r>
      <w:proofErr w:type="spellStart"/>
      <w:r w:rsidRPr="00F87555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F87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755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87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555">
        <w:rPr>
          <w:rFonts w:ascii="Times New Roman" w:hAnsi="Times New Roman" w:cs="Times New Roman"/>
          <w:b/>
          <w:sz w:val="24"/>
          <w:szCs w:val="24"/>
          <w:lang w:val="sr-Cyrl-RS"/>
        </w:rPr>
        <w:t>исхрану биља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2127"/>
        <w:gridCol w:w="1417"/>
        <w:gridCol w:w="3701"/>
      </w:tblGrid>
      <w:tr w:rsidR="005C38F1" w:rsidRPr="006039D4" w:rsidTr="00B97AAE">
        <w:trPr>
          <w:trHeight w:val="465"/>
        </w:trPr>
        <w:tc>
          <w:tcPr>
            <w:tcW w:w="3555" w:type="dxa"/>
            <w:shd w:val="clear" w:color="auto" w:fill="E0E0E0"/>
            <w:vAlign w:val="center"/>
          </w:tcPr>
          <w:p w:rsidR="005C38F1" w:rsidRPr="006039D4" w:rsidRDefault="005C38F1" w:rsidP="00B97AAE">
            <w:pPr>
              <w:ind w:left="2772" w:hanging="273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039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пријаве и датум </w:t>
            </w:r>
          </w:p>
        </w:tc>
        <w:tc>
          <w:tcPr>
            <w:tcW w:w="7245" w:type="dxa"/>
            <w:gridSpan w:val="3"/>
            <w:shd w:val="clear" w:color="auto" w:fill="E0E0E0"/>
          </w:tcPr>
          <w:p w:rsidR="005C38F1" w:rsidRPr="006039D4" w:rsidRDefault="005C38F1" w:rsidP="00B97AAE">
            <w:pPr>
              <w:ind w:left="2772" w:hanging="27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C38F1" w:rsidRPr="006039D4" w:rsidTr="00B97AAE">
        <w:trPr>
          <w:trHeight w:val="396"/>
        </w:trPr>
        <w:tc>
          <w:tcPr>
            <w:tcW w:w="10800" w:type="dxa"/>
            <w:gridSpan w:val="4"/>
            <w:shd w:val="clear" w:color="auto" w:fill="E0E0E0"/>
            <w:vAlign w:val="center"/>
          </w:tcPr>
          <w:p w:rsidR="005C38F1" w:rsidRPr="006039D4" w:rsidRDefault="005C38F1" w:rsidP="00B97AAE">
            <w:pPr>
              <w:ind w:left="2772" w:hanging="27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039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ПОДАЦИ О ПРАВНОМ ЛИЦУ</w:t>
            </w:r>
          </w:p>
        </w:tc>
      </w:tr>
      <w:tr w:rsidR="005C38F1" w:rsidRPr="006039D4" w:rsidTr="00B97AAE">
        <w:trPr>
          <w:trHeight w:val="173"/>
        </w:trPr>
        <w:tc>
          <w:tcPr>
            <w:tcW w:w="10800" w:type="dxa"/>
            <w:gridSpan w:val="4"/>
            <w:shd w:val="clear" w:color="auto" w:fill="E0E0E0"/>
          </w:tcPr>
          <w:p w:rsidR="005C38F1" w:rsidRPr="006039D4" w:rsidRDefault="005C38F1" w:rsidP="00B97AA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039D4">
              <w:rPr>
                <w:rFonts w:ascii="Times New Roman" w:hAnsi="Times New Roman" w:cs="Times New Roman"/>
                <w:b/>
                <w:lang w:val="sr-Cyrl-CS"/>
              </w:rPr>
              <w:t xml:space="preserve">Пуно пословно име </w:t>
            </w:r>
          </w:p>
        </w:tc>
      </w:tr>
      <w:tr w:rsidR="005C38F1" w:rsidRPr="006039D4" w:rsidTr="00B97AAE">
        <w:trPr>
          <w:trHeight w:val="282"/>
        </w:trPr>
        <w:tc>
          <w:tcPr>
            <w:tcW w:w="10800" w:type="dxa"/>
            <w:gridSpan w:val="4"/>
            <w:shd w:val="clear" w:color="auto" w:fill="auto"/>
          </w:tcPr>
          <w:p w:rsidR="005C38F1" w:rsidRPr="006039D4" w:rsidRDefault="005C38F1" w:rsidP="00B97AAE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C38F1" w:rsidRPr="006039D4" w:rsidTr="00B97AAE">
        <w:trPr>
          <w:trHeight w:val="237"/>
        </w:trPr>
        <w:tc>
          <w:tcPr>
            <w:tcW w:w="10800" w:type="dxa"/>
            <w:gridSpan w:val="4"/>
            <w:shd w:val="clear" w:color="auto" w:fill="E6E6E6"/>
          </w:tcPr>
          <w:p w:rsidR="005C38F1" w:rsidRPr="006039D4" w:rsidRDefault="005C38F1" w:rsidP="00B97AAE">
            <w:pPr>
              <w:rPr>
                <w:rFonts w:ascii="Times New Roman" w:hAnsi="Times New Roman" w:cs="Times New Roman"/>
                <w:lang w:val="sr-Latn-CS"/>
              </w:rPr>
            </w:pPr>
            <w:r w:rsidRPr="006039D4">
              <w:rPr>
                <w:rFonts w:ascii="Times New Roman" w:hAnsi="Times New Roman" w:cs="Times New Roman"/>
                <w:b/>
                <w:lang w:val="sr-Cyrl-CS"/>
              </w:rPr>
              <w:t>Адреса и седиште правног лица</w:t>
            </w:r>
          </w:p>
        </w:tc>
      </w:tr>
      <w:tr w:rsidR="005C38F1" w:rsidRPr="006039D4" w:rsidTr="00B97AAE">
        <w:trPr>
          <w:trHeight w:val="237"/>
        </w:trPr>
        <w:tc>
          <w:tcPr>
            <w:tcW w:w="10800" w:type="dxa"/>
            <w:gridSpan w:val="4"/>
            <w:shd w:val="clear" w:color="auto" w:fill="auto"/>
          </w:tcPr>
          <w:p w:rsidR="005C38F1" w:rsidRPr="006039D4" w:rsidRDefault="005C38F1" w:rsidP="00B97AA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C38F1" w:rsidRPr="006039D4" w:rsidTr="00B97AAE">
        <w:trPr>
          <w:trHeight w:val="237"/>
        </w:trPr>
        <w:tc>
          <w:tcPr>
            <w:tcW w:w="10800" w:type="dxa"/>
            <w:gridSpan w:val="4"/>
            <w:shd w:val="clear" w:color="auto" w:fill="E6E6E6"/>
          </w:tcPr>
          <w:p w:rsidR="005C38F1" w:rsidRPr="006039D4" w:rsidRDefault="005C38F1" w:rsidP="00B97AA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039D4">
              <w:rPr>
                <w:rFonts w:ascii="Times New Roman" w:hAnsi="Times New Roman" w:cs="Times New Roman"/>
                <w:b/>
                <w:lang w:val="sr-Cyrl-CS"/>
              </w:rPr>
              <w:t xml:space="preserve">Број телефона </w:t>
            </w:r>
          </w:p>
        </w:tc>
      </w:tr>
      <w:tr w:rsidR="005C38F1" w:rsidRPr="006039D4" w:rsidTr="00B97AAE">
        <w:trPr>
          <w:trHeight w:val="361"/>
        </w:trPr>
        <w:tc>
          <w:tcPr>
            <w:tcW w:w="10800" w:type="dxa"/>
            <w:gridSpan w:val="4"/>
            <w:shd w:val="clear" w:color="auto" w:fill="auto"/>
          </w:tcPr>
          <w:p w:rsidR="005C38F1" w:rsidRPr="006039D4" w:rsidRDefault="005C38F1" w:rsidP="00B97AA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C38F1" w:rsidRPr="006039D4" w:rsidTr="00B97AAE">
        <w:trPr>
          <w:trHeight w:val="237"/>
        </w:trPr>
        <w:tc>
          <w:tcPr>
            <w:tcW w:w="7099" w:type="dxa"/>
            <w:gridSpan w:val="3"/>
            <w:shd w:val="clear" w:color="auto" w:fill="E6E6E6"/>
          </w:tcPr>
          <w:p w:rsidR="005C38F1" w:rsidRPr="006039D4" w:rsidRDefault="005C38F1" w:rsidP="00B97AA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039D4">
              <w:rPr>
                <w:rFonts w:ascii="Times New Roman" w:hAnsi="Times New Roman" w:cs="Times New Roman"/>
                <w:b/>
              </w:rPr>
              <w:t xml:space="preserve">Е-mail </w:t>
            </w:r>
            <w:r w:rsidRPr="006039D4">
              <w:rPr>
                <w:rFonts w:ascii="Times New Roman" w:hAnsi="Times New Roman" w:cs="Times New Roman"/>
                <w:b/>
                <w:lang w:val="sr-Cyrl-CS"/>
              </w:rPr>
              <w:t>адреса</w:t>
            </w:r>
          </w:p>
        </w:tc>
        <w:tc>
          <w:tcPr>
            <w:tcW w:w="3701" w:type="dxa"/>
            <w:shd w:val="clear" w:color="auto" w:fill="E6E6E6"/>
          </w:tcPr>
          <w:p w:rsidR="005C38F1" w:rsidRPr="006039D4" w:rsidRDefault="005C38F1" w:rsidP="00B97AAE">
            <w:pPr>
              <w:rPr>
                <w:rFonts w:ascii="Times New Roman" w:hAnsi="Times New Roman" w:cs="Times New Roman"/>
                <w:b/>
              </w:rPr>
            </w:pPr>
            <w:r w:rsidRPr="006039D4">
              <w:rPr>
                <w:rFonts w:ascii="Times New Roman" w:hAnsi="Times New Roman" w:cs="Times New Roman"/>
                <w:b/>
              </w:rPr>
              <w:t>WEB site</w:t>
            </w:r>
          </w:p>
        </w:tc>
      </w:tr>
      <w:tr w:rsidR="005C38F1" w:rsidRPr="006039D4" w:rsidTr="00B97AAE">
        <w:trPr>
          <w:trHeight w:val="388"/>
        </w:trPr>
        <w:tc>
          <w:tcPr>
            <w:tcW w:w="7099" w:type="dxa"/>
            <w:gridSpan w:val="3"/>
            <w:shd w:val="clear" w:color="auto" w:fill="auto"/>
          </w:tcPr>
          <w:p w:rsidR="005C38F1" w:rsidRPr="006039D4" w:rsidRDefault="005C38F1" w:rsidP="00B97AA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701" w:type="dxa"/>
            <w:shd w:val="clear" w:color="auto" w:fill="auto"/>
          </w:tcPr>
          <w:p w:rsidR="005C38F1" w:rsidRPr="006039D4" w:rsidRDefault="005C38F1" w:rsidP="00B97A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8F1" w:rsidRPr="006039D4" w:rsidTr="00B97AAE">
        <w:trPr>
          <w:trHeight w:val="237"/>
        </w:trPr>
        <w:tc>
          <w:tcPr>
            <w:tcW w:w="7099" w:type="dxa"/>
            <w:gridSpan w:val="3"/>
            <w:shd w:val="clear" w:color="auto" w:fill="E0E0E0"/>
          </w:tcPr>
          <w:p w:rsidR="005C38F1" w:rsidRPr="006039D4" w:rsidRDefault="005C38F1" w:rsidP="00B97AA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039D4">
              <w:rPr>
                <w:rFonts w:ascii="Times New Roman" w:hAnsi="Times New Roman" w:cs="Times New Roman"/>
                <w:b/>
                <w:lang w:val="sr-Cyrl-CS"/>
              </w:rPr>
              <w:t>Матични број</w:t>
            </w:r>
          </w:p>
        </w:tc>
        <w:tc>
          <w:tcPr>
            <w:tcW w:w="3701" w:type="dxa"/>
            <w:shd w:val="clear" w:color="auto" w:fill="E0E0E0"/>
          </w:tcPr>
          <w:p w:rsidR="005C38F1" w:rsidRPr="006039D4" w:rsidRDefault="005C38F1" w:rsidP="00B97AA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039D4">
              <w:rPr>
                <w:rFonts w:ascii="Times New Roman" w:hAnsi="Times New Roman" w:cs="Times New Roman"/>
                <w:b/>
                <w:lang w:val="sr-Cyrl-CS"/>
              </w:rPr>
              <w:t>ПИБ</w:t>
            </w:r>
          </w:p>
        </w:tc>
      </w:tr>
      <w:tr w:rsidR="005C38F1" w:rsidRPr="006039D4" w:rsidTr="00B97AAE">
        <w:trPr>
          <w:trHeight w:val="361"/>
        </w:trPr>
        <w:tc>
          <w:tcPr>
            <w:tcW w:w="7099" w:type="dxa"/>
            <w:gridSpan w:val="3"/>
            <w:shd w:val="clear" w:color="auto" w:fill="auto"/>
          </w:tcPr>
          <w:p w:rsidR="005C38F1" w:rsidRPr="006039D4" w:rsidRDefault="005C38F1" w:rsidP="00B97AA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01" w:type="dxa"/>
            <w:shd w:val="clear" w:color="auto" w:fill="auto"/>
          </w:tcPr>
          <w:p w:rsidR="005C38F1" w:rsidRPr="006039D4" w:rsidRDefault="005C38F1" w:rsidP="00B97AA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C38F1" w:rsidRPr="006039D4" w:rsidTr="00B97AAE">
        <w:trPr>
          <w:trHeight w:val="237"/>
        </w:trPr>
        <w:tc>
          <w:tcPr>
            <w:tcW w:w="10800" w:type="dxa"/>
            <w:gridSpan w:val="4"/>
            <w:shd w:val="clear" w:color="auto" w:fill="E0E0E0"/>
          </w:tcPr>
          <w:p w:rsidR="005C38F1" w:rsidRPr="006039D4" w:rsidRDefault="005C38F1" w:rsidP="00B97AA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039D4">
              <w:rPr>
                <w:rFonts w:ascii="Times New Roman" w:hAnsi="Times New Roman" w:cs="Times New Roman"/>
                <w:b/>
                <w:lang w:val="sr-Cyrl-CS"/>
              </w:rPr>
              <w:t>Број рачуна и назив банке</w:t>
            </w:r>
          </w:p>
        </w:tc>
      </w:tr>
      <w:tr w:rsidR="005C38F1" w:rsidRPr="006039D4" w:rsidTr="00B97AAE">
        <w:trPr>
          <w:trHeight w:val="370"/>
        </w:trPr>
        <w:tc>
          <w:tcPr>
            <w:tcW w:w="10800" w:type="dxa"/>
            <w:gridSpan w:val="4"/>
            <w:shd w:val="clear" w:color="auto" w:fill="auto"/>
          </w:tcPr>
          <w:p w:rsidR="005C38F1" w:rsidRPr="006039D4" w:rsidRDefault="005C38F1" w:rsidP="00B97AA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C38F1" w:rsidRPr="006039D4" w:rsidTr="00B97AAE">
        <w:trPr>
          <w:trHeight w:val="237"/>
        </w:trPr>
        <w:tc>
          <w:tcPr>
            <w:tcW w:w="5682" w:type="dxa"/>
            <w:gridSpan w:val="2"/>
            <w:shd w:val="clear" w:color="auto" w:fill="E6E6E6"/>
          </w:tcPr>
          <w:p w:rsidR="005C38F1" w:rsidRPr="006039D4" w:rsidRDefault="005C38F1" w:rsidP="00B97AA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039D4">
              <w:rPr>
                <w:rFonts w:ascii="Times New Roman" w:hAnsi="Times New Roman" w:cs="Times New Roman"/>
                <w:b/>
                <w:lang w:val="sr-Cyrl-CS"/>
              </w:rPr>
              <w:t>Име и презиме лица овлашћеног за заступање</w:t>
            </w:r>
          </w:p>
        </w:tc>
        <w:tc>
          <w:tcPr>
            <w:tcW w:w="5118" w:type="dxa"/>
            <w:gridSpan w:val="2"/>
            <w:shd w:val="clear" w:color="auto" w:fill="E6E6E6"/>
          </w:tcPr>
          <w:p w:rsidR="005C38F1" w:rsidRPr="006039D4" w:rsidRDefault="005C38F1" w:rsidP="00B97AA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039D4">
              <w:rPr>
                <w:rFonts w:ascii="Times New Roman" w:hAnsi="Times New Roman" w:cs="Times New Roman"/>
                <w:b/>
                <w:lang w:val="sr-Cyrl-CS"/>
              </w:rPr>
              <w:t xml:space="preserve">Број телефона и </w:t>
            </w:r>
            <w:r w:rsidRPr="006039D4">
              <w:rPr>
                <w:rFonts w:ascii="Times New Roman" w:hAnsi="Times New Roman" w:cs="Times New Roman"/>
                <w:b/>
                <w:i/>
              </w:rPr>
              <w:t>е</w:t>
            </w:r>
            <w:r w:rsidRPr="006039D4">
              <w:rPr>
                <w:rFonts w:ascii="Times New Roman" w:hAnsi="Times New Roman" w:cs="Times New Roman"/>
                <w:b/>
                <w:i/>
                <w:lang w:val="ru-RU"/>
              </w:rPr>
              <w:t>-</w:t>
            </w:r>
            <w:r w:rsidRPr="006039D4">
              <w:rPr>
                <w:rFonts w:ascii="Times New Roman" w:hAnsi="Times New Roman" w:cs="Times New Roman"/>
                <w:b/>
                <w:i/>
              </w:rPr>
              <w:t>mail</w:t>
            </w:r>
            <w:r w:rsidRPr="006039D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039D4">
              <w:rPr>
                <w:rFonts w:ascii="Times New Roman" w:hAnsi="Times New Roman" w:cs="Times New Roman"/>
                <w:b/>
                <w:lang w:val="sr-Cyrl-CS"/>
              </w:rPr>
              <w:t>адреса овлашћеног лица</w:t>
            </w:r>
          </w:p>
        </w:tc>
      </w:tr>
      <w:tr w:rsidR="005C38F1" w:rsidRPr="006039D4" w:rsidTr="00B97AAE">
        <w:trPr>
          <w:trHeight w:val="562"/>
        </w:trPr>
        <w:tc>
          <w:tcPr>
            <w:tcW w:w="5682" w:type="dxa"/>
            <w:gridSpan w:val="2"/>
            <w:shd w:val="clear" w:color="auto" w:fill="auto"/>
          </w:tcPr>
          <w:p w:rsidR="005C38F1" w:rsidRPr="006039D4" w:rsidRDefault="005C38F1" w:rsidP="00B97AAE">
            <w:pPr>
              <w:ind w:hanging="18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C38F1" w:rsidRPr="006039D4" w:rsidRDefault="005C38F1" w:rsidP="00B97AAE">
            <w:pPr>
              <w:ind w:hanging="18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18" w:type="dxa"/>
            <w:gridSpan w:val="2"/>
            <w:shd w:val="clear" w:color="auto" w:fill="auto"/>
          </w:tcPr>
          <w:p w:rsidR="005C38F1" w:rsidRPr="006039D4" w:rsidRDefault="005C38F1" w:rsidP="00B97AAE">
            <w:pPr>
              <w:ind w:left="53" w:hanging="53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C38F1" w:rsidRPr="006039D4" w:rsidTr="00B97AAE">
        <w:trPr>
          <w:trHeight w:val="237"/>
        </w:trPr>
        <w:tc>
          <w:tcPr>
            <w:tcW w:w="5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38F1" w:rsidRPr="006039D4" w:rsidRDefault="005C38F1" w:rsidP="00B97AA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039D4">
              <w:rPr>
                <w:rFonts w:ascii="Times New Roman" w:hAnsi="Times New Roman" w:cs="Times New Roman"/>
                <w:b/>
                <w:lang w:val="sr-Cyrl-CS"/>
              </w:rPr>
              <w:t xml:space="preserve">Име и презиме одговорног лица које потписује извештај о испитивању, односно лице које је одговорно за издавање извештаја </w:t>
            </w:r>
            <w:r w:rsidRPr="006039D4">
              <w:rPr>
                <w:rFonts w:ascii="Times New Roman" w:hAnsi="Times New Roman" w:cs="Times New Roman"/>
                <w:i/>
                <w:lang w:val="sr-Cyrl-CS"/>
              </w:rPr>
              <w:t>(уколико је више лица одговорно за одређену врсту испитивања, навести сва та лица и врсту испитивања за која су одговорни)</w:t>
            </w:r>
          </w:p>
        </w:tc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8F1" w:rsidRPr="006039D4" w:rsidRDefault="005C38F1" w:rsidP="00B97AA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039D4">
              <w:rPr>
                <w:rFonts w:ascii="Times New Roman" w:hAnsi="Times New Roman" w:cs="Times New Roman"/>
                <w:b/>
                <w:lang w:val="sr-Cyrl-CS"/>
              </w:rPr>
              <w:t xml:space="preserve">Број телефона и </w:t>
            </w:r>
            <w:r w:rsidRPr="006039D4">
              <w:rPr>
                <w:rFonts w:ascii="Times New Roman" w:hAnsi="Times New Roman" w:cs="Times New Roman"/>
                <w:b/>
                <w:i/>
              </w:rPr>
              <w:t>е</w:t>
            </w:r>
            <w:r w:rsidRPr="006039D4">
              <w:rPr>
                <w:rFonts w:ascii="Times New Roman" w:hAnsi="Times New Roman" w:cs="Times New Roman"/>
                <w:b/>
                <w:i/>
                <w:lang w:val="ru-RU"/>
              </w:rPr>
              <w:t>-</w:t>
            </w:r>
            <w:r w:rsidRPr="006039D4">
              <w:rPr>
                <w:rFonts w:ascii="Times New Roman" w:hAnsi="Times New Roman" w:cs="Times New Roman"/>
                <w:b/>
                <w:i/>
              </w:rPr>
              <w:t>mail</w:t>
            </w:r>
            <w:r w:rsidRPr="006039D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039D4">
              <w:rPr>
                <w:rFonts w:ascii="Times New Roman" w:hAnsi="Times New Roman" w:cs="Times New Roman"/>
                <w:b/>
                <w:lang w:val="sr-Cyrl-CS"/>
              </w:rPr>
              <w:t>адреса одговорног лица</w:t>
            </w:r>
          </w:p>
        </w:tc>
      </w:tr>
      <w:tr w:rsidR="005C38F1" w:rsidRPr="006039D4" w:rsidTr="00B97AAE">
        <w:trPr>
          <w:trHeight w:val="1303"/>
        </w:trPr>
        <w:tc>
          <w:tcPr>
            <w:tcW w:w="5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8F1" w:rsidRPr="006039D4" w:rsidRDefault="005C38F1" w:rsidP="00B97AA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C38F1" w:rsidRPr="006039D4" w:rsidRDefault="005C38F1" w:rsidP="00B97AA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C38F1" w:rsidRPr="006039D4" w:rsidRDefault="005C38F1" w:rsidP="00B97AA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38F1" w:rsidRPr="006039D4" w:rsidRDefault="005C38F1" w:rsidP="00B97AA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5C38F1" w:rsidRPr="006039D4" w:rsidRDefault="005C38F1" w:rsidP="005C38F1">
      <w:pPr>
        <w:rPr>
          <w:rFonts w:ascii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5C38F1" w:rsidRPr="006039D4" w:rsidTr="00B97AAE">
        <w:trPr>
          <w:jc w:val="center"/>
        </w:trPr>
        <w:tc>
          <w:tcPr>
            <w:tcW w:w="4360" w:type="dxa"/>
          </w:tcPr>
          <w:p w:rsidR="005C38F1" w:rsidRPr="006039D4" w:rsidRDefault="005C38F1" w:rsidP="00B97A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039D4">
              <w:rPr>
                <w:rFonts w:ascii="Times New Roman" w:hAnsi="Times New Roman" w:cs="Times New Roman"/>
                <w:spacing w:val="-7"/>
              </w:rPr>
              <w:t>Место</w:t>
            </w:r>
            <w:proofErr w:type="spellEnd"/>
            <w:r w:rsidRPr="006039D4">
              <w:rPr>
                <w:rFonts w:ascii="Times New Roman" w:hAnsi="Times New Roman" w:cs="Times New Roman"/>
                <w:spacing w:val="-7"/>
              </w:rPr>
              <w:t xml:space="preserve"> и </w:t>
            </w:r>
            <w:proofErr w:type="spellStart"/>
            <w:r w:rsidRPr="006039D4">
              <w:rPr>
                <w:rFonts w:ascii="Times New Roman" w:hAnsi="Times New Roman" w:cs="Times New Roman"/>
                <w:spacing w:val="-7"/>
              </w:rPr>
              <w:t>датум</w:t>
            </w:r>
            <w:proofErr w:type="spellEnd"/>
            <w:r w:rsidRPr="006039D4">
              <w:rPr>
                <w:rFonts w:ascii="Times New Roman" w:hAnsi="Times New Roman" w:cs="Times New Roman"/>
                <w:spacing w:val="-7"/>
              </w:rPr>
              <w:t>:</w:t>
            </w:r>
          </w:p>
          <w:p w:rsidR="005C38F1" w:rsidRPr="006039D4" w:rsidRDefault="005C38F1" w:rsidP="00B97AAE">
            <w:pPr>
              <w:tabs>
                <w:tab w:val="right" w:pos="4144"/>
              </w:tabs>
              <w:rPr>
                <w:rFonts w:ascii="Times New Roman" w:hAnsi="Times New Roman" w:cs="Times New Roman"/>
                <w:spacing w:val="-7"/>
                <w:lang w:val="sr-Cyrl-CS"/>
              </w:rPr>
            </w:pPr>
          </w:p>
          <w:p w:rsidR="005C38F1" w:rsidRPr="006039D4" w:rsidRDefault="005C38F1" w:rsidP="00B97AAE">
            <w:pPr>
              <w:tabs>
                <w:tab w:val="right" w:pos="4144"/>
              </w:tabs>
              <w:rPr>
                <w:rFonts w:ascii="Times New Roman" w:hAnsi="Times New Roman" w:cs="Times New Roman"/>
                <w:spacing w:val="-7"/>
                <w:lang w:val="sr-Cyrl-CS"/>
              </w:rPr>
            </w:pPr>
            <w:r w:rsidRPr="006039D4">
              <w:rPr>
                <w:rFonts w:ascii="Times New Roman" w:hAnsi="Times New Roman" w:cs="Times New Roman"/>
                <w:spacing w:val="-7"/>
                <w:lang w:val="sr-Cyrl-CS"/>
              </w:rPr>
              <w:t>_</w:t>
            </w:r>
            <w:r w:rsidRPr="006039D4">
              <w:rPr>
                <w:rFonts w:ascii="Times New Roman" w:hAnsi="Times New Roman" w:cs="Times New Roman"/>
                <w:spacing w:val="-7"/>
                <w:lang w:val="sr-Cyrl-RS"/>
              </w:rPr>
              <w:t>_______________</w:t>
            </w:r>
            <w:r w:rsidRPr="006039D4">
              <w:rPr>
                <w:rFonts w:ascii="Times New Roman" w:hAnsi="Times New Roman" w:cs="Times New Roman"/>
                <w:spacing w:val="-7"/>
              </w:rPr>
              <w:tab/>
            </w:r>
          </w:p>
        </w:tc>
        <w:tc>
          <w:tcPr>
            <w:tcW w:w="4361" w:type="dxa"/>
          </w:tcPr>
          <w:p w:rsidR="005C38F1" w:rsidRPr="006039D4" w:rsidRDefault="005C38F1" w:rsidP="00B97AA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039D4">
              <w:rPr>
                <w:rFonts w:ascii="Times New Roman" w:hAnsi="Times New Roman" w:cs="Times New Roman"/>
                <w:lang w:val="sr-Cyrl-RS"/>
              </w:rPr>
              <w:t>Потпис одговорног лица</w:t>
            </w:r>
            <w:r w:rsidRPr="006039D4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5C38F1" w:rsidRPr="006039D4" w:rsidRDefault="005C38F1" w:rsidP="00B97A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C38F1" w:rsidRPr="006039D4" w:rsidRDefault="005C38F1" w:rsidP="00B97AAE">
            <w:pPr>
              <w:jc w:val="center"/>
              <w:rPr>
                <w:rFonts w:ascii="Times New Roman" w:hAnsi="Times New Roman" w:cs="Times New Roman"/>
                <w:spacing w:val="-7"/>
                <w:lang w:val="sr-Cyrl-CS"/>
              </w:rPr>
            </w:pPr>
            <w:r w:rsidRPr="006039D4">
              <w:rPr>
                <w:rFonts w:ascii="Times New Roman" w:hAnsi="Times New Roman" w:cs="Times New Roman"/>
              </w:rPr>
              <w:t xml:space="preserve">___________________________ </w:t>
            </w:r>
          </w:p>
        </w:tc>
      </w:tr>
      <w:tr w:rsidR="005C38F1" w:rsidRPr="00274A11" w:rsidTr="00B97AAE">
        <w:trPr>
          <w:jc w:val="center"/>
        </w:trPr>
        <w:tc>
          <w:tcPr>
            <w:tcW w:w="4360" w:type="dxa"/>
          </w:tcPr>
          <w:p w:rsidR="005C38F1" w:rsidRPr="00274A11" w:rsidRDefault="005C38F1" w:rsidP="00B97AAE">
            <w:pPr>
              <w:rPr>
                <w:spacing w:val="-7"/>
              </w:rPr>
            </w:pPr>
          </w:p>
        </w:tc>
        <w:tc>
          <w:tcPr>
            <w:tcW w:w="4361" w:type="dxa"/>
          </w:tcPr>
          <w:p w:rsidR="005C38F1" w:rsidRPr="00274A11" w:rsidRDefault="005C38F1" w:rsidP="00B97AAE">
            <w:pPr>
              <w:rPr>
                <w:lang w:val="sr-Cyrl-RS"/>
              </w:rPr>
            </w:pPr>
          </w:p>
        </w:tc>
      </w:tr>
    </w:tbl>
    <w:p w:rsidR="005C38F1" w:rsidRPr="009B2604" w:rsidRDefault="005C38F1" w:rsidP="005C38F1">
      <w:pPr>
        <w:tabs>
          <w:tab w:val="center" w:pos="4320"/>
          <w:tab w:val="right" w:pos="900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ОБРАЗАЦ 2</w:t>
      </w:r>
    </w:p>
    <w:p w:rsidR="005C38F1" w:rsidRPr="009B2604" w:rsidRDefault="005C38F1" w:rsidP="005C38F1">
      <w:pPr>
        <w:tabs>
          <w:tab w:val="center" w:pos="4320"/>
          <w:tab w:val="right" w:pos="9000"/>
        </w:tabs>
        <w:spacing w:after="0" w:line="240" w:lineRule="auto"/>
        <w:ind w:right="-36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5C38F1" w:rsidRPr="009B2604" w:rsidRDefault="005C38F1" w:rsidP="005C38F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9B26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Табела 3:   ПОДАЦИ О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ОДГОВОРНОМ СТРУЧНОМ ЛИЦУ</w:t>
      </w:r>
    </w:p>
    <w:tbl>
      <w:tblPr>
        <w:tblW w:w="976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2700"/>
        <w:gridCol w:w="3240"/>
        <w:gridCol w:w="3060"/>
      </w:tblGrid>
      <w:tr w:rsidR="005C38F1" w:rsidRPr="009B2604" w:rsidTr="00B97AAE">
        <w:trPr>
          <w:trHeight w:val="567"/>
        </w:trPr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5C38F1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</w:p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СТРУЧНА СПРЕМА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ГОДИНЕ ИСКУСТВА</w:t>
            </w:r>
          </w:p>
        </w:tc>
      </w:tr>
      <w:tr w:rsidR="005C38F1" w:rsidRPr="003524AB" w:rsidTr="00B97AAE"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38F1" w:rsidRPr="003524AB" w:rsidRDefault="005C38F1" w:rsidP="00B97AAE">
            <w:pPr>
              <w:spacing w:after="0"/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38F1" w:rsidRPr="003524AB" w:rsidRDefault="005C38F1" w:rsidP="00B97AAE">
            <w:pPr>
              <w:spacing w:after="0"/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38F1" w:rsidRPr="003524AB" w:rsidRDefault="005C38F1" w:rsidP="00B97AAE">
            <w:pPr>
              <w:spacing w:after="0"/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38F1" w:rsidRPr="003524AB" w:rsidRDefault="005C38F1" w:rsidP="00B97AAE">
            <w:pPr>
              <w:spacing w:after="0"/>
            </w:pPr>
          </w:p>
        </w:tc>
      </w:tr>
      <w:tr w:rsidR="005C38F1" w:rsidRPr="003524AB" w:rsidTr="00B97AAE"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38F1" w:rsidRPr="003524AB" w:rsidRDefault="005C38F1" w:rsidP="00B97AAE">
            <w:pPr>
              <w:spacing w:after="0"/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38F1" w:rsidRPr="003524AB" w:rsidRDefault="005C38F1" w:rsidP="00B97AAE">
            <w:pPr>
              <w:spacing w:after="0"/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38F1" w:rsidRPr="003524AB" w:rsidRDefault="005C38F1" w:rsidP="00B97AAE">
            <w:pPr>
              <w:spacing w:after="0"/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38F1" w:rsidRPr="003524AB" w:rsidRDefault="005C38F1" w:rsidP="00B97AAE">
            <w:pPr>
              <w:spacing w:after="0"/>
            </w:pPr>
          </w:p>
        </w:tc>
      </w:tr>
      <w:tr w:rsidR="005C38F1" w:rsidRPr="003524AB" w:rsidTr="00B97AAE"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38F1" w:rsidRPr="003524AB" w:rsidRDefault="005C38F1" w:rsidP="00B97AAE">
            <w:pPr>
              <w:spacing w:after="0"/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38F1" w:rsidRPr="003524AB" w:rsidRDefault="005C38F1" w:rsidP="00B97AAE">
            <w:pPr>
              <w:spacing w:after="0"/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38F1" w:rsidRPr="003524AB" w:rsidRDefault="005C38F1" w:rsidP="00B97AAE">
            <w:pPr>
              <w:spacing w:after="0"/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38F1" w:rsidRPr="003524AB" w:rsidRDefault="005C38F1" w:rsidP="00B97AAE">
            <w:pPr>
              <w:spacing w:after="0"/>
            </w:pPr>
          </w:p>
        </w:tc>
      </w:tr>
    </w:tbl>
    <w:p w:rsidR="005C38F1" w:rsidRPr="009B2604" w:rsidRDefault="005C38F1" w:rsidP="005C38F1">
      <w:pPr>
        <w:tabs>
          <w:tab w:val="center" w:pos="4320"/>
          <w:tab w:val="right" w:pos="9000"/>
        </w:tabs>
        <w:spacing w:after="0" w:line="240" w:lineRule="auto"/>
        <w:ind w:right="-36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5C38F1" w:rsidRPr="009B2604" w:rsidRDefault="005C38F1" w:rsidP="005C38F1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ОБРАЗАЦ</w:t>
      </w:r>
      <w:r w:rsidRPr="009B26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3</w:t>
      </w:r>
      <w:r w:rsidRPr="009B26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.</w:t>
      </w:r>
    </w:p>
    <w:p w:rsidR="005C38F1" w:rsidRPr="009B2604" w:rsidRDefault="005C38F1" w:rsidP="005C38F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38F1" w:rsidRPr="009B2604" w:rsidRDefault="005C38F1" w:rsidP="005C38F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9B26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ПОДАЦИ О БРОЈУ И НАМЕНИ ПРОСТОРИЈА ЗА РАД</w:t>
      </w: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3960"/>
        <w:gridCol w:w="1080"/>
        <w:gridCol w:w="3615"/>
      </w:tblGrid>
      <w:tr w:rsidR="005C38F1" w:rsidRPr="009B2604" w:rsidTr="00B97AAE"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ПРОСТОРИЈА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НАМЕНА</w:t>
            </w:r>
          </w:p>
        </w:tc>
      </w:tr>
      <w:tr w:rsidR="005C38F1" w:rsidRPr="009B2604" w:rsidTr="00B97AAE"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C38F1" w:rsidRPr="009B2604" w:rsidTr="00B97AAE">
        <w:tc>
          <w:tcPr>
            <w:tcW w:w="1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C38F1" w:rsidRPr="009B2604" w:rsidTr="00B97AAE">
        <w:tc>
          <w:tcPr>
            <w:tcW w:w="1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</w:tbl>
    <w:p w:rsidR="005C38F1" w:rsidRPr="009B2604" w:rsidRDefault="005C38F1" w:rsidP="005C38F1">
      <w:pPr>
        <w:tabs>
          <w:tab w:val="center" w:pos="4320"/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5C38F1" w:rsidRPr="009B2604" w:rsidRDefault="005C38F1" w:rsidP="005C38F1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ОБРАЗАЦ</w:t>
      </w:r>
      <w:r w:rsidRPr="009B26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4</w:t>
      </w:r>
      <w:r w:rsidRPr="009B26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.</w:t>
      </w:r>
    </w:p>
    <w:p w:rsidR="005C38F1" w:rsidRPr="009B2604" w:rsidRDefault="005C38F1" w:rsidP="005C38F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5C38F1" w:rsidRPr="009B2604" w:rsidRDefault="005C38F1" w:rsidP="005C38F1">
      <w:pPr>
        <w:tabs>
          <w:tab w:val="right" w:pos="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9B26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ОПРЕМА И УРЕЂАЈИ ЗА ИСПИТИВАЊЕ ХЕМИЈСКИХ И ФИЗИЧКИХ ОСОБИНА СРЕДСТАВА ЗА ИСХРАНУ БИЉА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060"/>
        <w:gridCol w:w="2160"/>
        <w:gridCol w:w="1980"/>
        <w:gridCol w:w="1620"/>
      </w:tblGrid>
      <w:tr w:rsidR="005C38F1" w:rsidRPr="009B2604" w:rsidTr="00B97AAE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</w:p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 xml:space="preserve">НАЗИВ И ОЗНАКА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година производње/ експлоатације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 xml:space="preserve">година последње </w:t>
            </w:r>
            <w:proofErr w:type="spellStart"/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калибрације</w:t>
            </w:r>
            <w:proofErr w:type="spellEnd"/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/ баждарења *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9B26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број комада</w:t>
            </w:r>
          </w:p>
        </w:tc>
      </w:tr>
      <w:tr w:rsidR="005C38F1" w:rsidRPr="009B2604" w:rsidTr="00B97AAE">
        <w:trPr>
          <w:trHeight w:val="28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8F1" w:rsidRPr="00D81E33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C38F1" w:rsidRPr="009B2604" w:rsidTr="00B97AAE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C38F1" w:rsidRPr="009B2604" w:rsidTr="00B97AAE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8F1" w:rsidRPr="009B2604" w:rsidRDefault="005C38F1" w:rsidP="00B97AA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</w:tbl>
    <w:p w:rsidR="005C38F1" w:rsidRPr="009B2604" w:rsidRDefault="005C38F1" w:rsidP="005C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38F1" w:rsidRPr="009B2604" w:rsidRDefault="005C38F1" w:rsidP="005C38F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9B2604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  <w:lang w:val="sr-Cyrl-CS"/>
        </w:rPr>
        <w:t>*</w:t>
      </w:r>
      <w:r w:rsidRPr="009B26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Приложити доказ </w:t>
      </w:r>
      <w:r w:rsidRPr="00B10E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о еталонирању и </w:t>
      </w:r>
      <w:proofErr w:type="spellStart"/>
      <w:r w:rsidRPr="009B26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калибрацији</w:t>
      </w:r>
      <w:proofErr w:type="spellEnd"/>
    </w:p>
    <w:p w:rsidR="005C38F1" w:rsidRDefault="005C38F1" w:rsidP="005C38F1"/>
    <w:p w:rsidR="005C38F1" w:rsidRDefault="005C38F1" w:rsidP="005C38F1"/>
    <w:p w:rsidR="004365EA" w:rsidRDefault="005C38F1"/>
    <w:sectPr w:rsidR="0043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D799D"/>
    <w:multiLevelType w:val="hybridMultilevel"/>
    <w:tmpl w:val="7DF245B8"/>
    <w:lvl w:ilvl="0" w:tplc="5A164F74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876067"/>
    <w:multiLevelType w:val="hybridMultilevel"/>
    <w:tmpl w:val="28FEFDD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8A4E4F04">
      <w:start w:val="11"/>
      <w:numFmt w:val="bullet"/>
      <w:lvlText w:val="–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C7A56"/>
    <w:multiLevelType w:val="hybridMultilevel"/>
    <w:tmpl w:val="069007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910BC"/>
    <w:multiLevelType w:val="multilevel"/>
    <w:tmpl w:val="26EE0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F1"/>
    <w:rsid w:val="002F3FAE"/>
    <w:rsid w:val="005C38F1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80781-39D2-4E0A-AEDC-28450240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F1"/>
    <w:rPr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C38F1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5C3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zb.minpolj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r.gov.rs/" TargetMode="External"/><Relationship Id="rId5" Type="http://schemas.openxmlformats.org/officeDocument/2006/relationships/hyperlink" Target="http://www.uzb.minpolj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2061</Words>
  <Characters>11749</Characters>
  <Application>Microsoft Office Word</Application>
  <DocSecurity>0</DocSecurity>
  <Lines>97</Lines>
  <Paragraphs>27</Paragraphs>
  <ScaleCrop>false</ScaleCrop>
  <Company/>
  <LinksUpToDate>false</LinksUpToDate>
  <CharactersWithSpaces>13783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LidijaRM</dc:creator>
  <cp:keywords/>
  <dc:description/>
  <cp:lastModifiedBy>LidijaRM</cp:lastModifiedBy>
  <cp:revision>1</cp:revision>
  <dcterms:created xsi:type="dcterms:W3CDTF">2022-05-10T07:44:00Z</dcterms:created>
  <dcterms:modified xsi:type="dcterms:W3CDTF">2022-05-10T07:51:00Z</dcterms:modified>
</cp:coreProperties>
</file>